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953A0A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0A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953A0A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953A0A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953A0A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953A0A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953A0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53A0A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53A0A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617EAF" w:rsidRPr="00953A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Каратузский</w:t>
      </w:r>
      <w:r w:rsidR="00A65D72"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953A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53A0A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953A0A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15DC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7EAF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176F0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5845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953A0A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953A0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617EAF"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Каратузский</w:t>
      </w:r>
      <w:r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617EAF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Каратузский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617EAF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Каратузского</w:t>
      </w:r>
      <w:r w:rsidR="00433B14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53A0A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07.06</w:t>
      </w:r>
      <w:r w:rsidR="00304651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953A0A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304651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953A0A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10-71</w:t>
      </w:r>
      <w:r w:rsidR="00304651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</w:t>
      </w:r>
      <w:r w:rsidR="006A659E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953A0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2.Цель проверки:</w:t>
      </w:r>
    </w:p>
    <w:p w:rsidR="002B1492" w:rsidRPr="00953A0A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953A0A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953A0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3.Срок проведения проверки: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617EA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="00D5153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176F0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апреля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617EA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="005176F0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="0024607D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953A0A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953A0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.Анализ бюджетной отчётности за 201</w:t>
      </w:r>
      <w:r w:rsidR="006A659E" w:rsidRPr="00953A0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953A0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953A0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617EA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617EA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953A0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953A0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953A0A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953A0A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617EA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953A0A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617EA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617EA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617EAF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F172FB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953A0A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953A0A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в сброшюрованном </w:t>
      </w:r>
      <w:r w:rsidR="005176F0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пронумерованном виде,  что соответствует требованиям пункта 4 Инструкции о порядке составления и представления годовой, квартальной и месячной отчетности об исполнении 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953A0A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</w:t>
      </w:r>
      <w:r w:rsidR="004328C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304651"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электронном </w:t>
      </w:r>
      <w:r w:rsidR="00DA17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варианте не представлена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что </w:t>
      </w:r>
      <w:r w:rsidR="004328C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соответствует требованиям пункта 4 Инструкции 191н.</w:t>
      </w:r>
      <w:r w:rsidR="004328C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электронном варианте представлены отдельные документы и материалы к бюджетной отчетности.</w:t>
      </w:r>
    </w:p>
    <w:p w:rsidR="00E541F7" w:rsidRPr="00953A0A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Все формы бюджетной отчётности подписаны </w:t>
      </w:r>
      <w:r w:rsidR="004328C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</w:t>
      </w:r>
      <w:r w:rsidRPr="00953A0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лавой сельсовета и главным бухгалтером, что соответствует требованиям пункта 6 Инструкции № 191н.</w:t>
      </w:r>
    </w:p>
    <w:p w:rsidR="005E352E" w:rsidRPr="005E352E" w:rsidRDefault="005E352E" w:rsidP="005E352E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соответствии с пунктом 8 Инструкции № 191н формы бюджетной отчетности, утвержденные настоящей Инструкцией, которые не имеют числового значения, не составлялись, перечень данных форм бюджетной отчетности указан в  пояснительной записке (ф. 0503160).</w:t>
      </w:r>
    </w:p>
    <w:p w:rsidR="00246B64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Состав представленной годовой бюджетной отчетности содержит </w:t>
      </w:r>
      <w:r w:rsidR="005E352E" w:rsidRPr="005E352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не </w:t>
      </w:r>
      <w:r w:rsidRPr="005E352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полный</w:t>
      </w:r>
      <w:r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объем форм бюджетной отчетности, у</w:t>
      </w:r>
      <w:r w:rsidR="002C7220"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становленный Инструкцией № 191н</w:t>
      </w:r>
      <w:r w:rsidR="00246B64"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5E352E" w:rsidRDefault="005E352E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5E352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пункта 163 и пункта 170.2 Инструкции 191н, в составе бюджетной отчетности не представлены формы, которые должны иметь числовое значение: </w:t>
      </w:r>
      <w:r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исполнении бюджета (ф.0503164)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 принятых и неисполненных обязательствах получателя бюджетных средств (ф.0503175)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5E352E" w:rsidRPr="005E352E" w:rsidRDefault="005E352E" w:rsidP="005E352E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составе бюджетной отчетности не представлены </w:t>
      </w:r>
      <w:r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исполнении судебных решений по денежным обязательствам бюджета (ф.0503296)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5E352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 вложениях в объекты недвижимого имущества, объектах незавершенного строительства (ф.0503190)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 О том</w:t>
      </w:r>
      <w:r w:rsidR="002E7B7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что данные формы не имеют числового значения в текстовой части пояснительной записке не отражено, что </w:t>
      </w:r>
      <w:r w:rsidRPr="002E7B7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пункту 8 Инструкции 191н.</w:t>
      </w:r>
    </w:p>
    <w:p w:rsidR="00607201" w:rsidRPr="00607201" w:rsidRDefault="00607201" w:rsidP="0060720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составе бюджетной отчетности представлены </w:t>
      </w:r>
      <w:r w:rsidRPr="0060720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 проведении инвентаризаций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таблица 6, что </w:t>
      </w:r>
      <w:r w:rsidRPr="0060720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пункту 158 Инструкции 191н. </w:t>
      </w:r>
      <w:r w:rsidRPr="0060720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 w:rsidR="004328C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</w:t>
      </w:r>
      <w:r w:rsidRPr="0060720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аблица №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(ф.0503160)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07201" w:rsidRPr="00607201" w:rsidRDefault="00317B5F" w:rsidP="0060720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составе бюджетной отчетности представлен </w:t>
      </w:r>
      <w:r w:rsidRPr="00317B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Отчет о бюджетных обязательствах (ф.0503128)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форме </w:t>
      </w:r>
      <w:r w:rsidRPr="00317B5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соответствующей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форме утвержденной Инструкцией 191н.</w:t>
      </w:r>
    </w:p>
    <w:p w:rsidR="00C5516E" w:rsidRDefault="00C5516E" w:rsidP="00C5516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5D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</w:t>
      </w:r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161 Инструкции 191 н  заполнены Сведения о результатах деятельности (ф.0503162). В форме должны быть отражены обобщенные за отчетный период данные о результатах деятельности субъекта бюджетной отчетности (получателя бюджетных средств) при исполнении им муниципального задания.</w:t>
      </w:r>
      <w:r w:rsidRPr="005D39FD">
        <w:t xml:space="preserve"> </w:t>
      </w:r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составляется казенными учреждениями, в отношении которых в соответствии с решением органа местного самоуправления, </w:t>
      </w:r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осуществляющих бюджетные полномочия главного распорядителя бюджетных средств, сформировано муниципальное задание.</w:t>
      </w:r>
    </w:p>
    <w:p w:rsidR="006C1141" w:rsidRPr="006C1141" w:rsidRDefault="006C1141" w:rsidP="006C114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графе 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аны</w:t>
      </w: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запланированные значения исполнения муниципального задания в натуральном выражении.</w:t>
      </w:r>
    </w:p>
    <w:p w:rsidR="006C1141" w:rsidRPr="006C1141" w:rsidRDefault="006C1141" w:rsidP="006C114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указаны</w:t>
      </w: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 исполнения муниципального задания в натуральном выражении, фактически достигнутые на отчетную дату.</w:t>
      </w:r>
    </w:p>
    <w:p w:rsidR="00C5516E" w:rsidRPr="005D39FD" w:rsidRDefault="00C5516E" w:rsidP="00C5516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субъекту бюджетной отчетности главным распорядителем (распорядителем) бюджетных средств не устанавливается муниципальное задание или показатели результативности деятельности, то Сведения (ф.0503162) не составляются, при этом информация о результатах деятельности раскрывается в текстовой части раздела 2 Пояснительной записки.</w:t>
      </w:r>
    </w:p>
    <w:p w:rsidR="00C5516E" w:rsidRPr="005D39FD" w:rsidRDefault="00C5516E" w:rsidP="00C5516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5D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нарушением </w:t>
      </w:r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162 Инструкции 191н заполнены Сведения об изменениях бюджетной росписи главного распорядителя бюджетных средств (ф.0503163). В форме должны быть отражены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 При этом по показателям бюджетной росписи с учетом изменений, не содержащим отклонений по отношению к показателям, утвержденным на </w:t>
      </w:r>
      <w:proofErr w:type="gramStart"/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отчетный</w:t>
      </w:r>
      <w:proofErr w:type="gramEnd"/>
      <w:r w:rsidRPr="005D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финансовый год решением о соответствующем бюджете, без учета последующих изменений в решение о бюджете, Сведения (ф. 0503163) не заполняются.</w:t>
      </w:r>
    </w:p>
    <w:p w:rsidR="00463CF6" w:rsidRDefault="00463CF6" w:rsidP="00463CF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 </w:t>
      </w:r>
      <w:r w:rsidRPr="00463C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нарушением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пункта 155 заполнены</w:t>
      </w:r>
      <w:r w:rsidRPr="00463CF6">
        <w:t xml:space="preserve"> </w:t>
      </w:r>
      <w:r w:rsidRPr="00463C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исполнении текстовых статей закона (решения) о бюджете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таблица 3.</w:t>
      </w:r>
    </w:p>
    <w:p w:rsidR="00463CF6" w:rsidRDefault="00463CF6" w:rsidP="00463CF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63C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Информация в таблице характеризует результаты анализа исполнения текстовых статей решения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</w:p>
    <w:p w:rsidR="00463CF6" w:rsidRDefault="00463CF6" w:rsidP="00463CF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графе 5 должно быть </w:t>
      </w:r>
      <w:r w:rsidRPr="00463C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указ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ано</w:t>
      </w:r>
      <w:r w:rsidRPr="00463C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содержание текстовой статьи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(пункта)</w:t>
      </w:r>
      <w:r w:rsidR="009E66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3, 4, 5, 6, 7, 9.2, 10, 13</w:t>
      </w:r>
      <w:r w:rsidRPr="00463C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решения о бюджете</w:t>
      </w:r>
      <w:r w:rsidR="009E66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C4295E" w:rsidRDefault="00C4295E" w:rsidP="00463CF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 </w:t>
      </w:r>
      <w:r w:rsidRPr="00C4295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нарушением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пунктов 151-152 Инструкции 191н заполнена текстовая часть пояснительной записки формам 0503160, которая составляется в разрезе разделов установленных Инструкцией 191н.</w:t>
      </w:r>
    </w:p>
    <w:p w:rsidR="004C52D0" w:rsidRPr="00F633C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C52D0" w:rsidRPr="00F633C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F633C0" w:rsidRDefault="00F633C0" w:rsidP="00C5516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-показатели сведений об изменениях бюджетной росписи главного распорядителя бюджетных средств ф.0503163 </w:t>
      </w:r>
      <w:r w:rsidR="00C5516E"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</w:t>
      </w:r>
      <w:r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C5516E"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объему утвержденному решением </w:t>
      </w:r>
      <w:r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C5516E"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12.12.2017 № 14-100 «О бюджете </w:t>
      </w:r>
      <w:r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Каратузского </w:t>
      </w:r>
      <w:r w:rsidR="00C5516E"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на 2018 год и плановый период 2019-2020 годов» (далее-решение о бюджете) без учета последующих изменений в решение о бюджете</w:t>
      </w:r>
      <w:r w:rsidR="00674B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4BFA" w:rsidRDefault="00674BFA" w:rsidP="00674BF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Сопоставить </w:t>
      </w:r>
      <w:r w:rsidR="004C52D0"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утверждённые бюджетные назначения, отражённые в отчёте об исполнении бюджета формы 05031</w:t>
      </w:r>
      <w:r w:rsidR="001240BE"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>7 по разделу «Доходы бюджета»</w:t>
      </w:r>
      <w:r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F9589E">
        <w:t xml:space="preserve"> </w:t>
      </w:r>
      <w:r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«Расходы бюджета» с показателями</w:t>
      </w:r>
      <w:r w:rsidR="00F9589E"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утвержденными сводной бюджетной росписью на конец года не представилось возможным, так как сводная бюджетная роспись</w:t>
      </w:r>
      <w:r w:rsid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конец года</w:t>
      </w:r>
      <w:r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документов не представлена.</w:t>
      </w:r>
    </w:p>
    <w:p w:rsidR="005A4207" w:rsidRDefault="00F9589E" w:rsidP="00F9589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958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1 </w:t>
      </w:r>
      <w:r w:rsidRPr="00F9589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5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Каратузского сельского Совета депутатов от </w:t>
      </w:r>
      <w:r w:rsidR="005A4207" w:rsidRPr="005A4207">
        <w:rPr>
          <w:rFonts w:ascii="Times New Roman" w:eastAsia="Times New Roman" w:hAnsi="Times New Roman" w:cs="Times New Roman"/>
          <w:sz w:val="28"/>
          <w:szCs w:val="28"/>
          <w:lang w:eastAsia="ar-SA"/>
        </w:rPr>
        <w:t>11.01.2019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4207" w:rsidRPr="005A4207">
        <w:rPr>
          <w:rFonts w:ascii="Times New Roman" w:eastAsia="Times New Roman" w:hAnsi="Times New Roman" w:cs="Times New Roman"/>
          <w:sz w:val="28"/>
          <w:szCs w:val="28"/>
          <w:lang w:eastAsia="ar-SA"/>
        </w:rPr>
        <w:t>№ Р-148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4207" w:rsidRPr="005A420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A4207" w:rsidRPr="005A42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A4207" w:rsidRPr="005A4207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Каратузского сельского Совета депутатов от 12.12.2017 года № 14-100 «О бюджете Каратузского сельсовета на 2018 год и плановый период 2019-2020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4207" w:rsidRDefault="00F633C0" w:rsidP="00F633C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3C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1 статьи 5 Бюджетного кодекса Российской Федерации закон (решение) о бюджете вступает в силу с 1 января и действует по 31 декабря финансового года, если иное не предусмотрено Бюджетным кодексом Российской Федерации и (или) законом (решением) о бюджете. Следовательно, внесение изменений, если они не предусмотрены Бюджетным кодексом Российской Федерации и (или) законом (решением) о бюджете после 31 декабря или после срока действия закона (решения) о бюджете не допускается.</w:t>
      </w:r>
    </w:p>
    <w:p w:rsidR="004C52D0" w:rsidRPr="005A420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20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C52D0" w:rsidRPr="009A43D2" w:rsidRDefault="00D7635D" w:rsidP="001240B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22FB7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формы</w:t>
      </w:r>
      <w:r w:rsidR="004C52D0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 «Отчёт о принятых бюджетных обязательствах»</w:t>
      </w:r>
      <w:r w:rsid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9A43D2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твержденные бюджетные назначения, лимиты бюджетных обязательств и </w:t>
      </w:r>
      <w:proofErr w:type="gramStart"/>
      <w:r w:rsidR="009A43D2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исполнено денежных обязательств </w:t>
      </w:r>
      <w:r w:rsidR="009A43D2" w:rsidRPr="009A4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сопоставимы</w:t>
      </w:r>
      <w:proofErr w:type="gramEnd"/>
      <w:r w:rsidR="009A43D2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52D0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A43D2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аналогичными показа</w:t>
      </w:r>
      <w:r w:rsidR="004C52D0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телями формы 05031</w:t>
      </w:r>
      <w:r w:rsidR="001240BE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1240BE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A43D2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52D0" w:rsidRPr="009A43D2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формы 0503168 «Сведения о движении нефинансовых активов» с аналогичными показателями соответствующих счетов формы 05031</w:t>
      </w:r>
      <w:r w:rsidR="00C22FB7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показателями не установлено; </w:t>
      </w:r>
    </w:p>
    <w:p w:rsidR="004C52D0" w:rsidRPr="009A43D2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9A43D2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ф. 0503121 фактические расходы</w:t>
      </w:r>
      <w:r w:rsidR="00F95783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43D2" w:rsidRPr="009A4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="008F7F9E" w:rsidRPr="009A4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соответствуют</w:t>
      </w:r>
      <w:r w:rsidR="00F95783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</w:t>
      </w:r>
      <w:r w:rsidR="009A43D2"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причина расхождения показателей не отражена в текстовой части пояснительной записке</w:t>
      </w: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1106D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«расходы бюджета, всего»  и показатель по аналитической группе доходов раздела</w:t>
      </w:r>
      <w:proofErr w:type="gramStart"/>
      <w:r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</w:t>
      </w:r>
      <w:r w:rsidR="001240BE"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аналогичным показателям ф</w:t>
      </w:r>
      <w:r w:rsidR="00C0071E"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295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0503123;</w:t>
      </w:r>
    </w:p>
    <w:p w:rsidR="004C52D0" w:rsidRPr="006C1141" w:rsidRDefault="000B1C2D" w:rsidP="000B1C2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01.01.201</w:t>
      </w:r>
      <w:r w:rsidR="00D23D9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6C1141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726,6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295595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39 905,4</w:t>
      </w:r>
      <w:r w:rsidR="00E458BC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числе:</w:t>
      </w:r>
    </w:p>
    <w:p w:rsidR="00C5516E" w:rsidRPr="006C1141" w:rsidRDefault="00C5516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7 985,0 тыс. </w:t>
      </w:r>
      <w:proofErr w:type="gramStart"/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рублей-жилые</w:t>
      </w:r>
      <w:proofErr w:type="gramEnd"/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6C1141" w:rsidRDefault="00C5516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24 964,8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6C1141" w:rsidRDefault="00C5516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2 591</w:t>
      </w:r>
      <w:r w:rsidR="00D54EAE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,7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6C1141" w:rsidRDefault="00C5516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259,9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D54EAE" w:rsidRPr="006C1141" w:rsidRDefault="00C5516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198,8</w:t>
      </w:r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="00D54EAE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27C5" w:rsidRPr="006C1141" w:rsidRDefault="006C1141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="00D54EAE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D54EAE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рублей-прочие</w:t>
      </w:r>
      <w:proofErr w:type="gramEnd"/>
      <w:r w:rsidR="00D54EAE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средства</w:t>
      </w:r>
      <w:r w:rsidR="00586CD4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37BF" w:rsidRPr="006C1141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0503130) и </w:t>
      </w:r>
      <w:proofErr w:type="gramStart"/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6C1141"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>32 636,4</w:t>
      </w:r>
      <w:r w:rsidRPr="006C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E4599F" w:rsidRPr="00E4599F" w:rsidRDefault="00E4599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Сверка показателей отраженных в формах бюджетной отчетности с главной книгой не проведена. Главная книга представлена только на бумажном носителе, в которой графы таблицы  </w:t>
      </w:r>
      <w:proofErr w:type="gramStart"/>
      <w:r w:rsidRPr="00E4599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размещены на двух страницах  и сопоставить  данные на конец отчетного периода по номерам счетов бухгалтерского учета не представилось</w:t>
      </w:r>
      <w:proofErr w:type="gramEnd"/>
      <w:r w:rsidRPr="00E45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возможным.</w:t>
      </w:r>
    </w:p>
    <w:p w:rsidR="00607201" w:rsidRPr="000C3FAD" w:rsidRDefault="00F157E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01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 п</w:t>
      </w:r>
      <w:r w:rsidR="00826A6C" w:rsidRPr="00607201">
        <w:rPr>
          <w:rFonts w:ascii="Times New Roman" w:hAnsi="Times New Roman" w:cs="Times New Roman"/>
          <w:sz w:val="28"/>
          <w:szCs w:val="28"/>
        </w:rPr>
        <w:t>еред составлен</w:t>
      </w:r>
      <w:r w:rsidR="00733953" w:rsidRPr="00607201">
        <w:rPr>
          <w:rFonts w:ascii="Times New Roman" w:hAnsi="Times New Roman" w:cs="Times New Roman"/>
          <w:sz w:val="28"/>
          <w:szCs w:val="28"/>
        </w:rPr>
        <w:t xml:space="preserve">ием годовой бюджетной отчётности на основании распоряжения от </w:t>
      </w:r>
      <w:r w:rsidR="00607201" w:rsidRPr="00607201">
        <w:rPr>
          <w:rFonts w:ascii="Times New Roman" w:hAnsi="Times New Roman" w:cs="Times New Roman"/>
          <w:sz w:val="28"/>
          <w:szCs w:val="28"/>
        </w:rPr>
        <w:t>15</w:t>
      </w:r>
      <w:r w:rsidR="00733953" w:rsidRPr="00607201">
        <w:rPr>
          <w:rFonts w:ascii="Times New Roman" w:hAnsi="Times New Roman" w:cs="Times New Roman"/>
          <w:sz w:val="28"/>
          <w:szCs w:val="28"/>
        </w:rPr>
        <w:t>.1</w:t>
      </w:r>
      <w:r w:rsidR="00607201" w:rsidRPr="00607201">
        <w:rPr>
          <w:rFonts w:ascii="Times New Roman" w:hAnsi="Times New Roman" w:cs="Times New Roman"/>
          <w:sz w:val="28"/>
          <w:szCs w:val="28"/>
        </w:rPr>
        <w:t>1</w:t>
      </w:r>
      <w:r w:rsidR="00733953" w:rsidRPr="0060720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607201" w:rsidRPr="00607201">
        <w:rPr>
          <w:rFonts w:ascii="Times New Roman" w:hAnsi="Times New Roman" w:cs="Times New Roman"/>
          <w:sz w:val="28"/>
          <w:szCs w:val="28"/>
        </w:rPr>
        <w:t>71</w:t>
      </w:r>
      <w:r w:rsidR="00733953" w:rsidRPr="00607201">
        <w:rPr>
          <w:rFonts w:ascii="Times New Roman" w:hAnsi="Times New Roman" w:cs="Times New Roman"/>
          <w:sz w:val="28"/>
          <w:szCs w:val="28"/>
        </w:rPr>
        <w:t xml:space="preserve">-Р </w:t>
      </w:r>
      <w:r w:rsidR="00826A6C" w:rsidRPr="00607201">
        <w:rPr>
          <w:rFonts w:ascii="Times New Roman" w:hAnsi="Times New Roman" w:cs="Times New Roman"/>
          <w:sz w:val="28"/>
          <w:szCs w:val="28"/>
        </w:rPr>
        <w:t xml:space="preserve">проведена годовая инвентаризация активов и обязательств, расхождений </w:t>
      </w:r>
      <w:r w:rsidR="00826A6C" w:rsidRPr="000C3FAD">
        <w:rPr>
          <w:rFonts w:ascii="Times New Roman" w:hAnsi="Times New Roman" w:cs="Times New Roman"/>
          <w:sz w:val="28"/>
          <w:szCs w:val="28"/>
        </w:rPr>
        <w:t>не выявлено</w:t>
      </w:r>
      <w:r w:rsidR="00607201" w:rsidRPr="000C3FAD">
        <w:rPr>
          <w:rFonts w:ascii="Times New Roman" w:hAnsi="Times New Roman" w:cs="Times New Roman"/>
          <w:sz w:val="28"/>
          <w:szCs w:val="28"/>
        </w:rPr>
        <w:t>. Дата проведения инвентаризации</w:t>
      </w:r>
      <w:r w:rsidR="004328C6">
        <w:rPr>
          <w:rFonts w:ascii="Times New Roman" w:hAnsi="Times New Roman" w:cs="Times New Roman"/>
          <w:sz w:val="28"/>
          <w:szCs w:val="28"/>
        </w:rPr>
        <w:t>, согласно информации отраженной в сведениях проведения инвентаризации таблица 6 -</w:t>
      </w:r>
      <w:r w:rsidR="00607201" w:rsidRPr="000C3FAD">
        <w:rPr>
          <w:rFonts w:ascii="Times New Roman" w:hAnsi="Times New Roman" w:cs="Times New Roman"/>
          <w:sz w:val="28"/>
          <w:szCs w:val="28"/>
        </w:rPr>
        <w:t xml:space="preserve"> </w:t>
      </w:r>
      <w:r w:rsidR="00607201" w:rsidRPr="000C3FAD">
        <w:rPr>
          <w:rFonts w:ascii="Times New Roman" w:hAnsi="Times New Roman" w:cs="Times New Roman"/>
          <w:b/>
          <w:sz w:val="28"/>
          <w:szCs w:val="28"/>
        </w:rPr>
        <w:t>16.11.2017</w:t>
      </w:r>
      <w:r w:rsidR="00607201" w:rsidRPr="000C3FAD">
        <w:rPr>
          <w:rFonts w:ascii="Times New Roman" w:hAnsi="Times New Roman" w:cs="Times New Roman"/>
          <w:sz w:val="28"/>
          <w:szCs w:val="28"/>
        </w:rPr>
        <w:t>.</w:t>
      </w:r>
    </w:p>
    <w:p w:rsidR="002B1492" w:rsidRPr="000C3FAD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617EAF" w:rsidRPr="000C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Каратузского</w:t>
      </w:r>
      <w:r w:rsidRPr="000C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0C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0C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0C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0C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0C3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3FAD" w:rsidRDefault="000C3FAD" w:rsidP="000C3FAD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0C3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0C3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2 статьи 264.5 Бюджетного кодекса Российской Федерации, одновременно с годовым отчетом об исполнении бюджета 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3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 </w:t>
      </w:r>
      <w:r w:rsidRPr="000C3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бюджета.</w:t>
      </w:r>
    </w:p>
    <w:p w:rsidR="000C3FAD" w:rsidRPr="00F8610F" w:rsidRDefault="000C3FAD" w:rsidP="000C3FAD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 бюджета</w:t>
      </w:r>
      <w:r w:rsidR="00CB0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2018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произведен на основании о</w:t>
      </w: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A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0503127.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18 318,0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19 618,0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1 30</w:t>
      </w:r>
      <w:r w:rsidR="00DB6D63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DC0510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DC0510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C0510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Р-148</w:t>
      </w:r>
      <w:r w:rsidR="00DC0510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доходов бюджета 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31 633,0</w:t>
      </w:r>
      <w:r w:rsidR="00D54EAE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13315,0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172,7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32 573,0</w:t>
      </w:r>
      <w:r w:rsidR="00D54EAE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12 955,0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166,0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940,0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D15455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DC0510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08E4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D1545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30 501,2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96,4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D15455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30 476,5</w:t>
      </w:r>
      <w:r w:rsidR="00732B58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93,6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D15455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621D14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фицитом в сумме </w:t>
      </w:r>
      <w:r w:rsidR="00D15455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24,7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D15455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617EAF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D15455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D1545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D15455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D15455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D15455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56"/>
        <w:gridCol w:w="1279"/>
        <w:gridCol w:w="1159"/>
        <w:gridCol w:w="1585"/>
        <w:gridCol w:w="2059"/>
      </w:tblGrid>
      <w:tr w:rsidR="009E3B0B" w:rsidRPr="009E3B0B" w:rsidTr="00980867">
        <w:trPr>
          <w:trHeight w:val="76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E3B0B" w:rsidRPr="009E3B0B" w:rsidTr="00980867">
        <w:trPr>
          <w:trHeight w:val="3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30501,2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-1131,8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9E3B0B" w:rsidRPr="009E3B0B" w:rsidTr="00980867">
        <w:trPr>
          <w:trHeight w:val="3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30476,5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-2096,5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9E3B0B" w:rsidRPr="009E3B0B" w:rsidTr="00980867">
        <w:trPr>
          <w:trHeight w:val="55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0B" w:rsidRPr="009E3B0B" w:rsidRDefault="009E3B0B" w:rsidP="009E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4757" w:rsidRPr="00F8610F" w:rsidRDefault="00584757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highlight w:val="yellow"/>
          <w:lang w:eastAsia="fa-IR" w:bidi="fa-IR"/>
        </w:rPr>
      </w:pPr>
    </w:p>
    <w:p w:rsidR="002B1492" w:rsidRPr="000B1C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C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617EAF" w:rsidRPr="000B1C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Каратузского</w:t>
      </w:r>
      <w:r w:rsidRPr="000B1C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0B1C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0B1C2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0B1C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0B1C2D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DC0510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7, и</w:t>
      </w:r>
      <w:r w:rsidR="002B1492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617EAF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30 501,2</w:t>
      </w:r>
      <w:r w:rsidR="002B1492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96,4</w:t>
      </w:r>
      <w:r w:rsidR="002B1492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166,5</w:t>
      </w:r>
      <w:r w:rsidR="002B1492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0B1C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9 788,2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95,7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0B1C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24,5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4,9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0B1C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20 688,5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DA4BFD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99,0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0B1C2D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C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0B1C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617EAF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1C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DA4BFD" w:rsidRPr="000B1C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67,8</w:t>
      </w:r>
      <w:r w:rsidRPr="000B1C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0B1C2D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617EAF" w:rsidRPr="000B1C2D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Каратузского</w:t>
      </w:r>
      <w:r w:rsidRPr="000B1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0B1C2D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0B1C2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0B1C2D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0B1C2D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009"/>
        <w:gridCol w:w="1279"/>
        <w:gridCol w:w="1159"/>
        <w:gridCol w:w="1464"/>
        <w:gridCol w:w="1221"/>
        <w:gridCol w:w="1806"/>
      </w:tblGrid>
      <w:tr w:rsidR="00EF20BD" w:rsidRPr="00EF20BD" w:rsidTr="00980867">
        <w:trPr>
          <w:trHeight w:val="25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0B1C2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0B1C2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0B1C2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0B1C2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0B1C2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EF20BD" w:rsidRPr="00EF20BD" w:rsidTr="00980867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20BD" w:rsidRPr="00EF20BD" w:rsidTr="00980867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31633,0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30501,2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-1131,8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F20BD" w:rsidRPr="00EF20BD" w:rsidTr="00980867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10230,2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-442,0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EF20BD" w:rsidRPr="00EF20BD" w:rsidTr="00980867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F20BD" w:rsidRPr="00EF20BD" w:rsidTr="00980867">
        <w:trPr>
          <w:trHeight w:val="3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EF20BD" w:rsidRPr="00EF20BD" w:rsidTr="00980867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EF20BD" w:rsidRPr="00EF20BD" w:rsidTr="00980867">
        <w:trPr>
          <w:trHeight w:val="2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F20BD" w:rsidRPr="00EF20BD" w:rsidTr="00980867">
        <w:trPr>
          <w:trHeight w:val="4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</w:tr>
      <w:tr w:rsidR="00EF20BD" w:rsidRPr="00EF20BD" w:rsidTr="00980867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F20BD" w:rsidRPr="00EF20BD" w:rsidTr="00980867">
        <w:trPr>
          <w:trHeight w:val="174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0BD" w:rsidRPr="00EF20BD" w:rsidTr="00980867">
        <w:trPr>
          <w:trHeight w:val="6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DA4BF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EF20BD" w:rsidRPr="00EF20BD" w:rsidTr="00980867">
        <w:trPr>
          <w:trHeight w:val="11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DA4BF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0B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0B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F20BD" w:rsidRPr="00EF20BD" w:rsidTr="00980867">
        <w:trPr>
          <w:trHeight w:val="36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20688,5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</w:tr>
      <w:tr w:rsidR="00EF20BD" w:rsidRPr="00EF20BD" w:rsidTr="00980867">
        <w:trPr>
          <w:trHeight w:val="39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EF20BD" w:rsidRPr="00EF20BD" w:rsidTr="00980867">
        <w:trPr>
          <w:trHeight w:val="37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EF20BD" w:rsidRPr="00EF20BD" w:rsidTr="00980867">
        <w:trPr>
          <w:trHeight w:val="6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F20BD" w:rsidRPr="00EF20BD" w:rsidTr="00980867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</w:tbl>
    <w:p w:rsidR="00A117E7" w:rsidRPr="00F8610F" w:rsidRDefault="00A117E7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F90F3F" w:rsidRPr="00DA4BF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составляющий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1 816,0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DA4BF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1 125,9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DA4BF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DA4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DA4BFD" w:rsidRPr="00DA4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4,8</w:t>
      </w:r>
      <w:r w:rsidRPr="00DA4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1 457,0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DA4BF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17,6</w:t>
      </w:r>
      <w:r w:rsidR="005408E4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5 368,9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91,5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DC0510" w:rsidRPr="00DA4BFD" w:rsidRDefault="00DC0510" w:rsidP="00DC051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0,1% в структуре  доходов, исполнен в сумме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,0% к уточненному плану.</w:t>
      </w:r>
    </w:p>
    <w:p w:rsidR="00F90F3F" w:rsidRPr="00DA4BFD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источником поступлений в бюджет являются </w:t>
      </w:r>
      <w:r w:rsidR="00DC0510"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="00DC0510"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="00DC0510"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A4BFD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E00EAC" w:rsidRDefault="00DA4BFD" w:rsidP="00E00EA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 w:rsidR="00E00EAC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="00E00EAC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0EAC"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Изначально в бюджете  предусмотрены не были.</w:t>
      </w:r>
    </w:p>
    <w:p w:rsidR="00DA4BFD" w:rsidRPr="00DA4BFD" w:rsidRDefault="00DA4BFD" w:rsidP="00E00EA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менее 0,1% в структуре доходов,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D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Изначально в бюджете  предусмотрены не были.</w:t>
      </w:r>
    </w:p>
    <w:p w:rsidR="002B14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DA4B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DA4BFD" w:rsidRPr="00DA4B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20 688,5</w:t>
      </w:r>
      <w:r w:rsidRPr="00DA4B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DA4BFD" w:rsidRPr="00DA4B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99,0</w:t>
      </w:r>
      <w:r w:rsidRPr="00DA4BF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DA4BFD" w:rsidRPr="00DA4BFD" w:rsidRDefault="00DA4BF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Как в формах бюджетной отчетности</w:t>
      </w:r>
      <w:r w:rsidR="00D67713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так и в текстовой части  пояснительной записке ф. 0503160 не отражена причина  исполнения п</w:t>
      </w:r>
      <w:r w:rsidRPr="00DA4BF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рочи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х</w:t>
      </w:r>
      <w:r w:rsidRPr="00DA4BF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поступлени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й</w:t>
      </w:r>
      <w:r w:rsidRPr="00DA4BF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 от использования имущества находящегося в собственности сельских поселени</w:t>
      </w:r>
      <w:proofErr w:type="gramStart"/>
      <w:r w:rsidRPr="00DA4BF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й(</w:t>
      </w:r>
      <w:proofErr w:type="gramEnd"/>
      <w:r w:rsidRPr="00DA4BF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D67713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менее 2,0%.</w:t>
      </w:r>
    </w:p>
    <w:p w:rsidR="002B1492" w:rsidRPr="00D67713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D6771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7.Анализ исполнения расходной части бюджета </w:t>
      </w:r>
      <w:r w:rsidR="00617EAF" w:rsidRPr="00D6771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Каратузского</w:t>
      </w:r>
      <w:r w:rsidRPr="00D6771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D6771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D6771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D6771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r w:rsidR="00D67713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отчета</w:t>
      </w:r>
      <w:proofErr w:type="gramEnd"/>
      <w:r w:rsidR="00D67713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об исполнении бюджета </w:t>
      </w: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870412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форм</w:t>
      </w:r>
      <w:r w:rsidR="00D67713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ы</w:t>
      </w:r>
      <w:r w:rsidR="00870412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05031</w:t>
      </w:r>
      <w:r w:rsidR="005260B2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870412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</w:t>
      </w: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бюджетные ассигнования по расходам на 201</w:t>
      </w:r>
      <w:r w:rsidR="00870412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D67713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32 573,0</w:t>
      </w: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D6771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617EAF" w:rsidRPr="00D67713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Каратузского</w:t>
      </w:r>
      <w:r w:rsidRPr="00D67713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D67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D67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D67713"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30 476,5</w:t>
      </w:r>
      <w:r w:rsidRPr="00D6771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D67713" w:rsidRPr="00D6771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93,6</w:t>
      </w:r>
      <w:r w:rsidRPr="00D6771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D6771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D67713" w:rsidRPr="00D6771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166,0</w:t>
      </w:r>
      <w:r w:rsidR="002166BD" w:rsidRPr="00D6771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D6771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D6771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Объём неисполненных бюджетных ассигнований составил </w:t>
      </w:r>
      <w:r w:rsid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2 096,5</w:t>
      </w:r>
      <w:r w:rsidRPr="00D677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D6771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D6771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617EAF" w:rsidRPr="00D6771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Каратузского</w:t>
      </w:r>
      <w:r w:rsidRPr="00D6771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D6771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D6771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D6771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D6771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D67713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D6771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D67713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D6771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083"/>
        <w:gridCol w:w="1495"/>
        <w:gridCol w:w="1159"/>
        <w:gridCol w:w="1585"/>
        <w:gridCol w:w="1221"/>
        <w:gridCol w:w="868"/>
      </w:tblGrid>
      <w:tr w:rsidR="00EF20BD" w:rsidRPr="00EF20BD" w:rsidTr="00A222D3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EF20BD" w:rsidRPr="00EF20BD" w:rsidTr="00A222D3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30476,5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-2096,5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F20BD" w:rsidRPr="00EF20BD" w:rsidTr="00A222D3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6577,8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EF20BD" w:rsidRPr="00EF20BD" w:rsidTr="00A222D3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EF20BD" w:rsidRPr="00EF20BD" w:rsidTr="00A222D3">
        <w:trPr>
          <w:trHeight w:val="11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EF20BD" w:rsidRPr="00EF20BD" w:rsidTr="00A222D3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EF20BD" w:rsidRPr="00EF20BD" w:rsidTr="00A222D3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EF20BD" w:rsidRPr="00EF20BD" w:rsidTr="00A222D3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F20BD" w:rsidRPr="00EF20BD" w:rsidTr="00A222D3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F20BD" w:rsidRPr="00EF20BD" w:rsidTr="00A222D3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11962,4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11929,4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EF20BD" w:rsidRPr="00EF20BD" w:rsidTr="00A222D3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11279,2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EF20BD" w:rsidRPr="00EF20BD" w:rsidTr="00A222D3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EF20BD" w:rsidRPr="00EF20BD" w:rsidTr="00A222D3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-845,7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EF20BD" w:rsidRPr="00EF20BD" w:rsidTr="00A222D3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EF20BD" w:rsidRPr="00EF20BD" w:rsidTr="00A222D3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F20BD" w:rsidRPr="00EF20BD" w:rsidTr="00A222D3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4396,5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EF20BD" w:rsidRPr="00EF20BD" w:rsidTr="00A222D3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4396,5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EF20BD" w:rsidRPr="00EF20BD" w:rsidTr="00A222D3">
        <w:trPr>
          <w:trHeight w:val="52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0B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F20BD" w:rsidRPr="00EF20BD" w:rsidTr="00A222D3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F20BD" w:rsidRPr="00EF20BD" w:rsidTr="00A222D3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F20BD" w:rsidRPr="00EF20BD" w:rsidTr="00A222D3">
        <w:trPr>
          <w:trHeight w:val="4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F20BD" w:rsidRPr="00EF20BD" w:rsidTr="00A222D3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20BD" w:rsidRPr="00EF20BD" w:rsidTr="00A222D3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BD" w:rsidRPr="00EF20BD" w:rsidRDefault="00EF20BD" w:rsidP="00EF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</w:tbl>
    <w:p w:rsidR="002B1492" w:rsidRPr="00D6771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</w:t>
      </w:r>
      <w:r w:rsid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ую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экономик</w:t>
      </w:r>
      <w:r w:rsid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-39,1%, </w:t>
      </w:r>
      <w:proofErr w:type="gramStart"/>
      <w:r w:rsidR="003452E2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23,4</w:t>
      </w:r>
      <w:r w:rsidR="003452E2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14,4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21,6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D6771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безопасность и правоохранительную деятельность —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0,7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513DA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здравоохранение-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0,1</w:t>
      </w:r>
      <w:r w:rsidR="00B513DA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0,6</w:t>
      </w:r>
      <w:r w:rsidR="003452E2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D67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менее 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B513DA" w:rsidRPr="00D67713" w:rsidRDefault="00B615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Анализ исполнения расходной части бюджета поселения показал, что из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восьми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разделов классификации расходов по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четырем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разделам  бюджетные назначения не исполнены в полном объеме, а именно, по разделу  национальная экономика –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99,7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по разделу жилищно-коммунальное хозяйство- </w:t>
      </w:r>
      <w:r w:rsidR="00D67713"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89,4%, по разделу культура, кинематография — 78,6% и по разделу общегосударственные расходы-99,7%.</w:t>
      </w:r>
    </w:p>
    <w:p w:rsidR="00D67713" w:rsidRDefault="00D67713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в формах бюджетной отчетности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так и в текстовой части  пояснительной записке ф. 0503160 не отражена причина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</w:t>
      </w:r>
      <w:r w:rsidRPr="00D677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исполнения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полном объеме утвержденных бюджетных назначений.</w:t>
      </w:r>
    </w:p>
    <w:p w:rsidR="00AD1C1D" w:rsidRDefault="00AD1C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расходной части бюджета </w:t>
      </w:r>
      <w:r w:rsidR="004A5BC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предусмотрено исполнение резервного фонда администрации Каратузского сельсовета в сумме 40,0 тыс. рублей или 100%.</w:t>
      </w:r>
    </w:p>
    <w:p w:rsidR="004A5BCE" w:rsidRDefault="004A5BCE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Средства бюджета направлены на откачку  и транспортировку талых вод.</w:t>
      </w:r>
    </w:p>
    <w:p w:rsidR="002B1492" w:rsidRPr="00167C72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67C7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D67713" w:rsidRPr="00167C72" w:rsidRDefault="00D67713" w:rsidP="001E51E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67C7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составе документов и </w:t>
      </w:r>
      <w:proofErr w:type="gramStart"/>
      <w:r w:rsidRPr="00167C7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материалов</w:t>
      </w:r>
      <w:proofErr w:type="gramEnd"/>
      <w:r w:rsidRPr="00167C7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представленных с бюджетной отчетностью </w:t>
      </w:r>
      <w:r w:rsidR="000B1C2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за 2018 год </w:t>
      </w:r>
      <w:r w:rsidRPr="00167C7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отсутствует информация по реализации мероприятий муниципальных программ реал</w:t>
      </w:r>
      <w:r w:rsidR="00167C72" w:rsidRPr="00167C7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</w:t>
      </w:r>
      <w:r w:rsidRPr="00167C7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зуемых поселением.</w:t>
      </w:r>
    </w:p>
    <w:p w:rsidR="002B1492" w:rsidRPr="000B1C2D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0B1C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B1C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</w:t>
      </w:r>
      <w:r w:rsidR="000B1C2D"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сведениям по дебиторской и кредиторской задолженности ф. 0503169 д</w:t>
      </w:r>
      <w:r w:rsidR="009C5DF0"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ебиторская задолженность </w:t>
      </w:r>
      <w:r w:rsidR="000B1C2D"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01.01.2019 составляет 517 767,17 рублей, </w:t>
      </w:r>
      <w:r w:rsidR="005A5C61"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кредиторская задолженность </w:t>
      </w:r>
      <w:r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01.01.201</w:t>
      </w:r>
      <w:r w:rsidR="00714D7E"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B1C2D" w:rsidRPr="000B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составляет 1 952 000,00 рублей.</w:t>
      </w:r>
    </w:p>
    <w:p w:rsidR="000B1C2D" w:rsidRDefault="000B1C2D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Причина увеличения  дебиторской  и кредиторской задолженности на конец года не отражена </w:t>
      </w:r>
      <w:r w:rsidR="00C429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текстовой части пояснительной записки ф.0503160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B1492" w:rsidRPr="000B549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0B549D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49D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0B549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950FE8" w:rsidRPr="000B549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0B5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0B54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0B5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581D6F" w:rsidRDefault="00B70BA9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0B549D">
        <w:t xml:space="preserve"> </w:t>
      </w:r>
      <w:r w:rsidR="00581D6F"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содержит </w:t>
      </w:r>
      <w:r w:rsidR="000B549D"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полный </w:t>
      </w:r>
      <w:r w:rsidR="00581D6F"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объем форм бюджетной отчетности, установленный Инструкцией № 191н.</w:t>
      </w:r>
    </w:p>
    <w:p w:rsidR="000B549D" w:rsidRDefault="000B549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11.3.Отдельные формы отчетности заполнены с нарушением требований Инструкции 191н.</w:t>
      </w:r>
    </w:p>
    <w:p w:rsidR="00C4295E" w:rsidRDefault="00C4295E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11.4.</w:t>
      </w:r>
      <w:r w:rsidRPr="00C4295E">
        <w:rPr>
          <w:rFonts w:ascii="Times New Roman" w:eastAsia="Calibri" w:hAnsi="Times New Roman" w:cs="Times New Roman"/>
          <w:sz w:val="28"/>
          <w:szCs w:val="28"/>
          <w:lang w:eastAsia="ar-SA"/>
        </w:rPr>
        <w:t>С нарушением пунктов 151-152 Инструкции 191н заполнена текстовая часть пояснительной записки формам 0503160, которая составляется в разрезе разделов установленных Инструкцией 191н.</w:t>
      </w:r>
    </w:p>
    <w:p w:rsidR="000B549D" w:rsidRDefault="000B549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C4295E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В нарушение пункта 2 статьи 264.5 Бюджетного кодекса Российской Федерации, одновременно с годовым отчетом об исполнении бюджета не представлен проект решения об исполнении бюджета.</w:t>
      </w:r>
    </w:p>
    <w:p w:rsidR="000B549D" w:rsidRDefault="000B549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C4295E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.С</w:t>
      </w: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1 статьи 5 Бюджетного кодекса Российской Федерации решением Каратузского сельского Совета депутатов от 11.01.2019 № Р-148 внесены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годы».</w:t>
      </w:r>
    </w:p>
    <w:p w:rsidR="00F172FB" w:rsidRPr="00F8610F" w:rsidRDefault="00B01498" w:rsidP="00F172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</w:pP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C4295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B549D" w:rsidRPr="000B549D">
        <w:t xml:space="preserve"> </w:t>
      </w:r>
      <w:r w:rsidR="000B549D"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Сверка показателей отраженных в формах бюджетной отчетности с главной книгой не проведена. Главная книга представлена только на бумажном носителе, в которой графы таблицы  </w:t>
      </w:r>
      <w:proofErr w:type="gramStart"/>
      <w:r w:rsidR="000B549D"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размещены на двух страницах  и сопоставить  данные на конец отчетного периода по номерам счетов бухгалтерского учета не представилось</w:t>
      </w:r>
      <w:proofErr w:type="gramEnd"/>
      <w:r w:rsidR="000B549D"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возможным.</w:t>
      </w:r>
    </w:p>
    <w:p w:rsidR="00B01498" w:rsidRPr="000B549D" w:rsidRDefault="000B549D" w:rsidP="00F172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C4295E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. Установлены расхождения п</w:t>
      </w:r>
      <w:r w:rsidR="00F172FB" w:rsidRPr="000B549D">
        <w:rPr>
          <w:rFonts w:ascii="Times New Roman" w:eastAsia="Calibri" w:hAnsi="Times New Roman" w:cs="Times New Roman"/>
          <w:sz w:val="28"/>
          <w:szCs w:val="28"/>
          <w:lang w:eastAsia="ar-SA"/>
        </w:rPr>
        <w:t>ри проверке соотношение идентичных показателей отдельных форм бюджетной отчетности.</w:t>
      </w:r>
    </w:p>
    <w:p w:rsidR="002B1492" w:rsidRPr="00C4295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4295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C4295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</w:t>
      </w:r>
      <w:r w:rsidRPr="00C4295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617EAF"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201</w:t>
      </w:r>
      <w:r w:rsidR="008429C2"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C4295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30 501,2</w:t>
      </w:r>
      <w:r w:rsidR="0079508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96,4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8429C2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9 812,7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32,2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617EAF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20 688,5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99,0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C4295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617EAF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30 476,5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93,6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C429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C4295E" w:rsidRPr="00C429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2 096,5</w:t>
      </w:r>
      <w:r w:rsidRPr="00C429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2B1492" w:rsidRPr="00C4295E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617EAF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5A5C61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16422A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24,7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01498" w:rsidRPr="00F8610F" w:rsidRDefault="002B1492" w:rsidP="00B0149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</w:t>
      </w:r>
      <w:r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F172FB"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4295E"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остаются расходы на национальную экономику-</w:t>
      </w:r>
      <w:r w:rsidR="00C4295E"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39,1%, </w:t>
      </w:r>
      <w:proofErr w:type="gramStart"/>
      <w:r w:rsidR="00C4295E"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C4295E" w:rsidRPr="00C4295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хзозяйство-23,4%, культуру, кинематографию — 14,4%, на общегосударственные расходы — 21,6%.</w:t>
      </w:r>
    </w:p>
    <w:p w:rsidR="005A5C61" w:rsidRPr="00F8610F" w:rsidRDefault="005A5C61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4295E" w:rsidRPr="00C4295E">
        <w:t xml:space="preserve">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Дебиторская задолженность  на 01.01.2019 составляет 517 767,17 рублей,  кредиторская задолженность по состоянию на 01.01.2019 составляет </w:t>
      </w:r>
      <w:r w:rsid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4295E" w:rsidRPr="00C4295E">
        <w:rPr>
          <w:rFonts w:ascii="Times New Roman" w:eastAsia="Times New Roman" w:hAnsi="Times New Roman" w:cs="Times New Roman"/>
          <w:sz w:val="28"/>
          <w:szCs w:val="28"/>
          <w:lang w:eastAsia="ar-SA"/>
        </w:rPr>
        <w:t>1 952 000,00 рублей.</w:t>
      </w:r>
    </w:p>
    <w:p w:rsidR="002B1492" w:rsidRPr="006318E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6318E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6318EB" w:rsidRPr="006318EB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>12.1.В последующей работе обеспечить представление бюджетной отчётности с соблюдением требований Инструкции № 191н.</w:t>
      </w:r>
    </w:p>
    <w:p w:rsidR="006318EB" w:rsidRPr="006318EB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12.2. Изложенные в настоящем заключении замечания 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нарушения 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учесть при исполнении бюджета и формировании отчёта за 2019 год.</w:t>
      </w:r>
    </w:p>
    <w:p w:rsidR="006318EB" w:rsidRPr="006318EB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Контрольно-счетный орган считает, что бюджетный процесс в муниципальном образовании 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Каратузский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</w:p>
    <w:p w:rsidR="006318EB" w:rsidRPr="006318EB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>12.4. На основании вышеизложенного, с учётом замечаний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нарушений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Каратузский 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за 2018 год.</w:t>
      </w:r>
    </w:p>
    <w:p w:rsidR="003854CE" w:rsidRPr="006318EB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6318EB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Л.И.Зотова</w:t>
      </w:r>
    </w:p>
    <w:sectPr w:rsidR="008822D5" w:rsidRPr="00DD5B34" w:rsidSect="00980867">
      <w:pgSz w:w="12474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B1C2D"/>
    <w:rsid w:val="000B549D"/>
    <w:rsid w:val="000C0C47"/>
    <w:rsid w:val="000C1DA8"/>
    <w:rsid w:val="000C3FAD"/>
    <w:rsid w:val="000D1986"/>
    <w:rsid w:val="000D47B4"/>
    <w:rsid w:val="000D6CD6"/>
    <w:rsid w:val="000E164D"/>
    <w:rsid w:val="000F396E"/>
    <w:rsid w:val="000F4CC1"/>
    <w:rsid w:val="00100DE6"/>
    <w:rsid w:val="00105FA4"/>
    <w:rsid w:val="001109E3"/>
    <w:rsid w:val="001240BE"/>
    <w:rsid w:val="00125439"/>
    <w:rsid w:val="0013092F"/>
    <w:rsid w:val="00133A31"/>
    <w:rsid w:val="001349CA"/>
    <w:rsid w:val="001353E3"/>
    <w:rsid w:val="001421E3"/>
    <w:rsid w:val="00144068"/>
    <w:rsid w:val="001555C4"/>
    <w:rsid w:val="00156CA6"/>
    <w:rsid w:val="00157204"/>
    <w:rsid w:val="0016422A"/>
    <w:rsid w:val="00166C70"/>
    <w:rsid w:val="00167BB3"/>
    <w:rsid w:val="00167C72"/>
    <w:rsid w:val="0018334A"/>
    <w:rsid w:val="00184F14"/>
    <w:rsid w:val="001877FD"/>
    <w:rsid w:val="00192498"/>
    <w:rsid w:val="001A062B"/>
    <w:rsid w:val="001A6A57"/>
    <w:rsid w:val="001A6E45"/>
    <w:rsid w:val="001B5A71"/>
    <w:rsid w:val="001C4A52"/>
    <w:rsid w:val="001D262F"/>
    <w:rsid w:val="001E51E4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40A79"/>
    <w:rsid w:val="0024265F"/>
    <w:rsid w:val="0024607D"/>
    <w:rsid w:val="00246B64"/>
    <w:rsid w:val="00250ECF"/>
    <w:rsid w:val="00261FBF"/>
    <w:rsid w:val="00272D99"/>
    <w:rsid w:val="002738AD"/>
    <w:rsid w:val="00273C8C"/>
    <w:rsid w:val="002743E4"/>
    <w:rsid w:val="00291C10"/>
    <w:rsid w:val="002941AB"/>
    <w:rsid w:val="00295595"/>
    <w:rsid w:val="00295F64"/>
    <w:rsid w:val="002A2F56"/>
    <w:rsid w:val="002B1492"/>
    <w:rsid w:val="002B1B44"/>
    <w:rsid w:val="002B253B"/>
    <w:rsid w:val="002B39C0"/>
    <w:rsid w:val="002B4191"/>
    <w:rsid w:val="002C7220"/>
    <w:rsid w:val="002E7B7C"/>
    <w:rsid w:val="002F0784"/>
    <w:rsid w:val="002F1624"/>
    <w:rsid w:val="00300945"/>
    <w:rsid w:val="00304651"/>
    <w:rsid w:val="00306ACB"/>
    <w:rsid w:val="003119C5"/>
    <w:rsid w:val="00311F8D"/>
    <w:rsid w:val="00317B5F"/>
    <w:rsid w:val="00320F9F"/>
    <w:rsid w:val="003234DA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1D03"/>
    <w:rsid w:val="00422084"/>
    <w:rsid w:val="004328C6"/>
    <w:rsid w:val="00433B14"/>
    <w:rsid w:val="00445778"/>
    <w:rsid w:val="00445F9A"/>
    <w:rsid w:val="00446226"/>
    <w:rsid w:val="00453DFD"/>
    <w:rsid w:val="00463743"/>
    <w:rsid w:val="00463CF6"/>
    <w:rsid w:val="00465D6D"/>
    <w:rsid w:val="004943FC"/>
    <w:rsid w:val="004A12F2"/>
    <w:rsid w:val="004A346F"/>
    <w:rsid w:val="004A5BCE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42C7"/>
    <w:rsid w:val="00505F71"/>
    <w:rsid w:val="00515A3D"/>
    <w:rsid w:val="005176F0"/>
    <w:rsid w:val="00517BAB"/>
    <w:rsid w:val="005209D1"/>
    <w:rsid w:val="005215DC"/>
    <w:rsid w:val="00525210"/>
    <w:rsid w:val="005260B2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63A23"/>
    <w:rsid w:val="005732CE"/>
    <w:rsid w:val="00573509"/>
    <w:rsid w:val="00575845"/>
    <w:rsid w:val="00577828"/>
    <w:rsid w:val="00581D6F"/>
    <w:rsid w:val="00582CCC"/>
    <w:rsid w:val="00584757"/>
    <w:rsid w:val="005855C0"/>
    <w:rsid w:val="00586CD4"/>
    <w:rsid w:val="005879C0"/>
    <w:rsid w:val="00592A58"/>
    <w:rsid w:val="00592E3A"/>
    <w:rsid w:val="00595997"/>
    <w:rsid w:val="005976DA"/>
    <w:rsid w:val="005A4207"/>
    <w:rsid w:val="005A5C61"/>
    <w:rsid w:val="005A5CC1"/>
    <w:rsid w:val="005A7F62"/>
    <w:rsid w:val="005B6BA6"/>
    <w:rsid w:val="005C0A2D"/>
    <w:rsid w:val="005C0B75"/>
    <w:rsid w:val="005C3490"/>
    <w:rsid w:val="005D20D3"/>
    <w:rsid w:val="005D32A5"/>
    <w:rsid w:val="005D49CD"/>
    <w:rsid w:val="005E2B95"/>
    <w:rsid w:val="005E352E"/>
    <w:rsid w:val="005E6B8A"/>
    <w:rsid w:val="0060150E"/>
    <w:rsid w:val="00603457"/>
    <w:rsid w:val="00607201"/>
    <w:rsid w:val="00607C91"/>
    <w:rsid w:val="00610808"/>
    <w:rsid w:val="006108F5"/>
    <w:rsid w:val="00611624"/>
    <w:rsid w:val="00612027"/>
    <w:rsid w:val="00612374"/>
    <w:rsid w:val="006154CF"/>
    <w:rsid w:val="00617EAF"/>
    <w:rsid w:val="00621270"/>
    <w:rsid w:val="00621425"/>
    <w:rsid w:val="00621D14"/>
    <w:rsid w:val="00624F55"/>
    <w:rsid w:val="00626AA9"/>
    <w:rsid w:val="0063033F"/>
    <w:rsid w:val="00630747"/>
    <w:rsid w:val="006309C0"/>
    <w:rsid w:val="006318EB"/>
    <w:rsid w:val="00631F8C"/>
    <w:rsid w:val="00636A7E"/>
    <w:rsid w:val="00642CE5"/>
    <w:rsid w:val="00642E52"/>
    <w:rsid w:val="00643D0F"/>
    <w:rsid w:val="00657098"/>
    <w:rsid w:val="0067250B"/>
    <w:rsid w:val="00674BFA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141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2159"/>
    <w:rsid w:val="00753E7C"/>
    <w:rsid w:val="00754D63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7F8F"/>
    <w:rsid w:val="00870412"/>
    <w:rsid w:val="00871D99"/>
    <w:rsid w:val="00873372"/>
    <w:rsid w:val="00874E70"/>
    <w:rsid w:val="008822D5"/>
    <w:rsid w:val="00883510"/>
    <w:rsid w:val="00886178"/>
    <w:rsid w:val="00887874"/>
    <w:rsid w:val="00896126"/>
    <w:rsid w:val="00896BD0"/>
    <w:rsid w:val="008A2902"/>
    <w:rsid w:val="008B3FF8"/>
    <w:rsid w:val="008D192A"/>
    <w:rsid w:val="008F2572"/>
    <w:rsid w:val="008F27C5"/>
    <w:rsid w:val="008F4690"/>
    <w:rsid w:val="008F7F9E"/>
    <w:rsid w:val="00907CD5"/>
    <w:rsid w:val="00912198"/>
    <w:rsid w:val="009152D6"/>
    <w:rsid w:val="00915B52"/>
    <w:rsid w:val="00917C1E"/>
    <w:rsid w:val="00923E26"/>
    <w:rsid w:val="00935415"/>
    <w:rsid w:val="009479AB"/>
    <w:rsid w:val="00950FE8"/>
    <w:rsid w:val="00953A0A"/>
    <w:rsid w:val="0095534C"/>
    <w:rsid w:val="00957DBE"/>
    <w:rsid w:val="00961F8F"/>
    <w:rsid w:val="009665EB"/>
    <w:rsid w:val="00967CAE"/>
    <w:rsid w:val="00970E42"/>
    <w:rsid w:val="00974729"/>
    <w:rsid w:val="009772D1"/>
    <w:rsid w:val="00980867"/>
    <w:rsid w:val="00981C25"/>
    <w:rsid w:val="00982A03"/>
    <w:rsid w:val="00983089"/>
    <w:rsid w:val="00983238"/>
    <w:rsid w:val="009868E5"/>
    <w:rsid w:val="00992EAF"/>
    <w:rsid w:val="009A43D2"/>
    <w:rsid w:val="009A6B24"/>
    <w:rsid w:val="009B125C"/>
    <w:rsid w:val="009B17F8"/>
    <w:rsid w:val="009B2794"/>
    <w:rsid w:val="009C5DF0"/>
    <w:rsid w:val="009D0D42"/>
    <w:rsid w:val="009D13CA"/>
    <w:rsid w:val="009D3B94"/>
    <w:rsid w:val="009E3B0B"/>
    <w:rsid w:val="009E5FA0"/>
    <w:rsid w:val="009E661E"/>
    <w:rsid w:val="009F68EC"/>
    <w:rsid w:val="00A02119"/>
    <w:rsid w:val="00A030BC"/>
    <w:rsid w:val="00A10FF6"/>
    <w:rsid w:val="00A117E7"/>
    <w:rsid w:val="00A13975"/>
    <w:rsid w:val="00A174BD"/>
    <w:rsid w:val="00A20487"/>
    <w:rsid w:val="00A222D3"/>
    <w:rsid w:val="00A26623"/>
    <w:rsid w:val="00A31416"/>
    <w:rsid w:val="00A33C03"/>
    <w:rsid w:val="00A36849"/>
    <w:rsid w:val="00A36C82"/>
    <w:rsid w:val="00A378AD"/>
    <w:rsid w:val="00A40633"/>
    <w:rsid w:val="00A41C9C"/>
    <w:rsid w:val="00A65D72"/>
    <w:rsid w:val="00A71274"/>
    <w:rsid w:val="00A71C84"/>
    <w:rsid w:val="00A766EA"/>
    <w:rsid w:val="00A84647"/>
    <w:rsid w:val="00AA47D6"/>
    <w:rsid w:val="00AA5051"/>
    <w:rsid w:val="00AB3FF3"/>
    <w:rsid w:val="00AB4F59"/>
    <w:rsid w:val="00AC329C"/>
    <w:rsid w:val="00AC3B10"/>
    <w:rsid w:val="00AC7AE4"/>
    <w:rsid w:val="00AD1C1D"/>
    <w:rsid w:val="00AD3266"/>
    <w:rsid w:val="00AD57FE"/>
    <w:rsid w:val="00AD6169"/>
    <w:rsid w:val="00AE18C9"/>
    <w:rsid w:val="00AE32D2"/>
    <w:rsid w:val="00AF2E30"/>
    <w:rsid w:val="00AF409C"/>
    <w:rsid w:val="00B01498"/>
    <w:rsid w:val="00B11CCD"/>
    <w:rsid w:val="00B22F92"/>
    <w:rsid w:val="00B255A4"/>
    <w:rsid w:val="00B27717"/>
    <w:rsid w:val="00B3091B"/>
    <w:rsid w:val="00B3657E"/>
    <w:rsid w:val="00B36F50"/>
    <w:rsid w:val="00B45051"/>
    <w:rsid w:val="00B513DA"/>
    <w:rsid w:val="00B51E72"/>
    <w:rsid w:val="00B55B9B"/>
    <w:rsid w:val="00B6123B"/>
    <w:rsid w:val="00B6151D"/>
    <w:rsid w:val="00B645A7"/>
    <w:rsid w:val="00B70BA9"/>
    <w:rsid w:val="00B849D0"/>
    <w:rsid w:val="00B870B2"/>
    <w:rsid w:val="00B907DA"/>
    <w:rsid w:val="00B90A05"/>
    <w:rsid w:val="00BA0961"/>
    <w:rsid w:val="00BB0460"/>
    <w:rsid w:val="00BC3A66"/>
    <w:rsid w:val="00BC4C33"/>
    <w:rsid w:val="00BC4F4A"/>
    <w:rsid w:val="00BE172D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17061"/>
    <w:rsid w:val="00C22455"/>
    <w:rsid w:val="00C22FB7"/>
    <w:rsid w:val="00C4295E"/>
    <w:rsid w:val="00C473E7"/>
    <w:rsid w:val="00C54AE4"/>
    <w:rsid w:val="00C5516E"/>
    <w:rsid w:val="00C64FFD"/>
    <w:rsid w:val="00C71682"/>
    <w:rsid w:val="00C73EF4"/>
    <w:rsid w:val="00C75601"/>
    <w:rsid w:val="00C765D6"/>
    <w:rsid w:val="00C76A21"/>
    <w:rsid w:val="00C92CAB"/>
    <w:rsid w:val="00C935CB"/>
    <w:rsid w:val="00CA389E"/>
    <w:rsid w:val="00CB0F88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1A4"/>
    <w:rsid w:val="00D12C9C"/>
    <w:rsid w:val="00D14943"/>
    <w:rsid w:val="00D149C7"/>
    <w:rsid w:val="00D14B13"/>
    <w:rsid w:val="00D15455"/>
    <w:rsid w:val="00D16995"/>
    <w:rsid w:val="00D21853"/>
    <w:rsid w:val="00D22D40"/>
    <w:rsid w:val="00D23D90"/>
    <w:rsid w:val="00D25279"/>
    <w:rsid w:val="00D32000"/>
    <w:rsid w:val="00D33FBC"/>
    <w:rsid w:val="00D362AE"/>
    <w:rsid w:val="00D5153F"/>
    <w:rsid w:val="00D53A6A"/>
    <w:rsid w:val="00D54EAE"/>
    <w:rsid w:val="00D60C00"/>
    <w:rsid w:val="00D67713"/>
    <w:rsid w:val="00D71C07"/>
    <w:rsid w:val="00D73330"/>
    <w:rsid w:val="00D74120"/>
    <w:rsid w:val="00D7493E"/>
    <w:rsid w:val="00D7635D"/>
    <w:rsid w:val="00DA1792"/>
    <w:rsid w:val="00DA218A"/>
    <w:rsid w:val="00DA4BFD"/>
    <w:rsid w:val="00DB14E3"/>
    <w:rsid w:val="00DB6D63"/>
    <w:rsid w:val="00DC0510"/>
    <w:rsid w:val="00DC1562"/>
    <w:rsid w:val="00DC2527"/>
    <w:rsid w:val="00DC272F"/>
    <w:rsid w:val="00DD4D08"/>
    <w:rsid w:val="00DD5B34"/>
    <w:rsid w:val="00DD7164"/>
    <w:rsid w:val="00DE08F9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171E8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458BC"/>
    <w:rsid w:val="00E4599F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D7D5A"/>
    <w:rsid w:val="00EE1A9C"/>
    <w:rsid w:val="00EE318C"/>
    <w:rsid w:val="00EE33D5"/>
    <w:rsid w:val="00EF1143"/>
    <w:rsid w:val="00EF20BD"/>
    <w:rsid w:val="00EF25FA"/>
    <w:rsid w:val="00F06397"/>
    <w:rsid w:val="00F157EF"/>
    <w:rsid w:val="00F172FB"/>
    <w:rsid w:val="00F17B5F"/>
    <w:rsid w:val="00F202E5"/>
    <w:rsid w:val="00F21C2D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33C0"/>
    <w:rsid w:val="00F66018"/>
    <w:rsid w:val="00F72A77"/>
    <w:rsid w:val="00F77FC1"/>
    <w:rsid w:val="00F835BD"/>
    <w:rsid w:val="00F84119"/>
    <w:rsid w:val="00F8610F"/>
    <w:rsid w:val="00F90F3F"/>
    <w:rsid w:val="00F93276"/>
    <w:rsid w:val="00F95783"/>
    <w:rsid w:val="00F9589E"/>
    <w:rsid w:val="00F9741E"/>
    <w:rsid w:val="00FA14B1"/>
    <w:rsid w:val="00FA15FA"/>
    <w:rsid w:val="00FA654B"/>
    <w:rsid w:val="00FB28FF"/>
    <w:rsid w:val="00FC3548"/>
    <w:rsid w:val="00FD09BD"/>
    <w:rsid w:val="00FD736D"/>
    <w:rsid w:val="00FE345D"/>
    <w:rsid w:val="00FE3894"/>
    <w:rsid w:val="00FE4DE7"/>
    <w:rsid w:val="00FE6177"/>
    <w:rsid w:val="00FF2947"/>
    <w:rsid w:val="00FF3856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FD0E-B93B-4C0F-BFE7-13D4B4F8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12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275</cp:revision>
  <cp:lastPrinted>2019-04-04T00:40:00Z</cp:lastPrinted>
  <dcterms:created xsi:type="dcterms:W3CDTF">2015-03-20T01:37:00Z</dcterms:created>
  <dcterms:modified xsi:type="dcterms:W3CDTF">2019-04-04T00:40:00Z</dcterms:modified>
</cp:coreProperties>
</file>