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0F6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F6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3120F6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0F6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3120F6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3120F6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3120F6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3120F6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120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3120F6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120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5D530F" w:rsidRPr="003120F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Качульский</w:t>
      </w:r>
      <w:r w:rsidR="00A65D72" w:rsidRPr="003120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3120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0F396E" w:rsidRPr="003120F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3120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3120F6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3120F6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15DC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46A2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20F6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52F2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47F5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5845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59E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5845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3120F6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3120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контрольно-счетного органа Каратузского района</w:t>
      </w:r>
      <w:r w:rsidR="00C10375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(далее-контрольно-счетный орган)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отчёт об исполнении бюджета муниципального образования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4732B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подпунктом </w:t>
      </w:r>
      <w:r w:rsidR="00642E52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 на 201</w:t>
      </w:r>
      <w:r w:rsidR="006A659E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642E52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</w:t>
      </w:r>
      <w:r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A659E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642E52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.12.201</w:t>
      </w:r>
      <w:r w:rsidR="006A659E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A659E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23-192</w:t>
      </w:r>
      <w:r w:rsidR="00642E52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2B1492" w:rsidRPr="003120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3120F6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3120F6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3120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3046A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="005D530F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="003046A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8647F5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="003120F6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="008647F5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</w:t>
      </w:r>
      <w:r w:rsidR="0024607D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201</w:t>
      </w:r>
      <w:r w:rsidR="006A659E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3120F6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Анализ бюджетной отчётности за 201</w:t>
      </w:r>
      <w:r w:rsidR="006A659E"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8</w:t>
      </w:r>
      <w:r w:rsidR="002B1492"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E541F7" w:rsidRPr="003120F6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подготовке заключения о результатах проведения внешней проверки годового отчёта об исполнении бюджета за 2018 год использована годовая бюджетная отчётность за 2018 год, составленная администрацией </w:t>
      </w:r>
      <w:r w:rsidR="005D530F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Качульского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E541F7" w:rsidRPr="003120F6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 w:rsidR="005D530F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 w:rsidR="005D530F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2018 год представлен администрацией </w:t>
      </w:r>
      <w:r w:rsidR="005D530F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Качульского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E87185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B93B4A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.03.2019</w:t>
      </w:r>
      <w:r w:rsidR="00970E4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3120F6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Отчётность представлена  </w:t>
      </w:r>
      <w:r w:rsidR="00537307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сброшюрованном</w:t>
      </w:r>
      <w:r w:rsidR="00537307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87185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пронумерованном виде,</w:t>
      </w:r>
      <w:r w:rsidR="00537307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без </w:t>
      </w:r>
      <w:r w:rsidR="00537307" w:rsidRPr="0031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оглавления</w:t>
      </w:r>
      <w:r w:rsidR="00BA2B4F" w:rsidRPr="0031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 что</w:t>
      </w:r>
      <w:r w:rsidR="00955B38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87185"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</w:t>
      </w:r>
      <w:r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соответствует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E541F7" w:rsidRPr="003120F6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Годовая бюджетная отчётность за 2018 год представлена в контрольно-счетн</w:t>
      </w:r>
      <w:r w:rsidR="0030465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ый орган на бумажных носителях</w:t>
      </w:r>
      <w:r w:rsidR="005A52F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в</w:t>
      </w:r>
      <w:r w:rsidR="0030465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электронном виде</w:t>
      </w:r>
      <w:r w:rsidR="005A52F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не представлена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что</w:t>
      </w:r>
      <w:r w:rsidR="005A52F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A52F2"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</w:t>
      </w:r>
      <w:r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соответствует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требованиям пункта 4 Инструкции </w:t>
      </w:r>
      <w:r w:rsidR="00B81258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191н.</w:t>
      </w:r>
    </w:p>
    <w:p w:rsidR="00E541F7" w:rsidRPr="003120F6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 </w:t>
      </w:r>
    </w:p>
    <w:p w:rsidR="00E541F7" w:rsidRPr="003120F6" w:rsidRDefault="008647F5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="00B93B4A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соответствии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требованиям пункта 6 Инструкции № 191н, ф</w:t>
      </w:r>
      <w:r w:rsidR="00E541F7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ормы бюджетной отчётности подписаны 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</w:t>
      </w:r>
      <w:r w:rsidR="00E541F7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лавой сельсовета и главным бухгалтером.</w:t>
      </w:r>
    </w:p>
    <w:p w:rsidR="00B93B4A" w:rsidRPr="003120F6" w:rsidRDefault="00344DE1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требований Инструкции </w:t>
      </w:r>
      <w:r w:rsidR="00B81258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191н в формах бюджетной отчетности</w:t>
      </w:r>
      <w:r w:rsidR="004B46D3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имеет место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4B46D3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незаполненные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графы ОКПО, Главы по БК, ОКТМО, ИНН. </w:t>
      </w:r>
    </w:p>
    <w:p w:rsidR="00344DE1" w:rsidRPr="003120F6" w:rsidRDefault="00344DE1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составе представлены формы бюджетной отчетности, не имеющие числового значения (ф.0503169</w:t>
      </w:r>
      <w:r w:rsidR="009E2C80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)</w:t>
      </w:r>
      <w:r w:rsidR="00B93B4A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что не соответствует  пункту 8 Инструкции №191н. При отсутствии показателей формы бюджетной отчетности не предоставляются, информация отражается в текстовой части пояснительной записке.</w:t>
      </w:r>
    </w:p>
    <w:p w:rsidR="00F37348" w:rsidRPr="003120F6" w:rsidRDefault="00F37348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составе бюджетной отчетности представлены </w:t>
      </w:r>
      <w:r w:rsidR="008B63A5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</w:t>
      </w:r>
      <w:r w:rsidR="00A37478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ведения об использовании информационно-коммуникационных технологий (ф.0503177), которые </w:t>
      </w:r>
      <w:r w:rsidR="00A37478"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исключены</w:t>
      </w:r>
      <w:r w:rsidR="00A37478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из состава бюджетной отчетности</w:t>
      </w:r>
      <w:r w:rsidR="00A37478" w:rsidRPr="003120F6">
        <w:t xml:space="preserve"> </w:t>
      </w:r>
      <w:r w:rsidR="00A37478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приказом Минфина России от 30 ноября 2018 года № 244н. Информация должна отражаться в текстовой части пояснительной записке.</w:t>
      </w:r>
    </w:p>
    <w:p w:rsidR="00B93B4A" w:rsidRPr="003120F6" w:rsidRDefault="00B93B4A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Состав представленной годовой бюджетной отчетности содержит </w:t>
      </w:r>
      <w:r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полный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объем форм бюджетной отчетности, установленный Инструкцией № 191н.</w:t>
      </w:r>
    </w:p>
    <w:p w:rsidR="009E2C80" w:rsidRPr="003120F6" w:rsidRDefault="009E2C80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пунктов</w:t>
      </w:r>
      <w:r w:rsidR="008B63A5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68-70,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153,</w:t>
      </w:r>
      <w:r w:rsidR="002F5DA0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155, </w:t>
      </w:r>
      <w:r w:rsidR="008B63A5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159, </w:t>
      </w:r>
      <w:r w:rsidR="002F5DA0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163,</w:t>
      </w:r>
      <w:r w:rsidR="00502A64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Инструкции </w:t>
      </w:r>
      <w:r w:rsidR="00030035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 w:rsidR="00502A64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191н в составе бюджетной отчетности  не представлены формы бюджетной отчетности</w:t>
      </w:r>
      <w:r w:rsidR="008B63A5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которые должны иметь числовое значение</w:t>
      </w:r>
      <w:r w:rsidR="00502A64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:</w:t>
      </w:r>
      <w:r w:rsidR="00502A64" w:rsidRPr="003120F6">
        <w:t xml:space="preserve"> </w:t>
      </w:r>
      <w:r w:rsidR="008B63A5" w:rsidRPr="003120F6">
        <w:rPr>
          <w:rFonts w:ascii="Times New Roman" w:hAnsi="Times New Roman" w:cs="Times New Roman"/>
          <w:sz w:val="28"/>
          <w:szCs w:val="28"/>
        </w:rPr>
        <w:t xml:space="preserve">отчёт о принятых бюджетных обязательствах (ф. 0503128), </w:t>
      </w:r>
      <w:r w:rsidR="002F5DA0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</w:t>
      </w:r>
      <w:r w:rsidR="00502A64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ведения об основных направлениях деятельности (Таблица № 1),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F5DA0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об исполнении текстовых статей закона (решения) о бюджете (Таблица № 3), сведения об исполнении бюджета (форма 0503164),</w:t>
      </w:r>
      <w:r w:rsidR="008B63A5" w:rsidRPr="003120F6">
        <w:t xml:space="preserve"> </w:t>
      </w:r>
      <w:r w:rsidR="008B63A5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 результатах мероприятий внешнего</w:t>
      </w:r>
      <w:proofErr w:type="gramEnd"/>
      <w:r w:rsidR="008B63A5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государственного (муниципального) финансового контроля (таблица № 7).</w:t>
      </w:r>
    </w:p>
    <w:p w:rsidR="00CC439A" w:rsidRPr="003120F6" w:rsidRDefault="00CC439A" w:rsidP="00CC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0F6">
        <w:rPr>
          <w:rFonts w:ascii="Times New Roman" w:hAnsi="Times New Roman" w:cs="Times New Roman"/>
          <w:sz w:val="28"/>
          <w:szCs w:val="28"/>
        </w:rPr>
        <w:t xml:space="preserve">В </w:t>
      </w:r>
      <w:r w:rsidRPr="003120F6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3120F6">
        <w:rPr>
          <w:rFonts w:ascii="Times New Roman" w:hAnsi="Times New Roman" w:cs="Times New Roman"/>
          <w:sz w:val="28"/>
          <w:szCs w:val="28"/>
        </w:rPr>
        <w:t xml:space="preserve"> пункта 7 и пункта 158 Инструкции </w:t>
      </w:r>
      <w:r w:rsidR="00030035" w:rsidRPr="003120F6">
        <w:rPr>
          <w:rFonts w:ascii="Times New Roman" w:hAnsi="Times New Roman" w:cs="Times New Roman"/>
          <w:sz w:val="28"/>
          <w:szCs w:val="28"/>
        </w:rPr>
        <w:t>№</w:t>
      </w:r>
      <w:r w:rsidRPr="003120F6">
        <w:rPr>
          <w:rFonts w:ascii="Times New Roman" w:hAnsi="Times New Roman" w:cs="Times New Roman"/>
          <w:sz w:val="28"/>
          <w:szCs w:val="28"/>
        </w:rPr>
        <w:t xml:space="preserve">191н </w:t>
      </w:r>
      <w:r w:rsidR="006E6AA2" w:rsidRPr="003120F6"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  от 06.12.2011 №402-ФЗ «О бухгалтерском учете» (далее-Федеральный закон № 402-ФЗ) </w:t>
      </w:r>
      <w:r w:rsidRPr="003120F6">
        <w:rPr>
          <w:rFonts w:ascii="Times New Roman" w:hAnsi="Times New Roman" w:cs="Times New Roman"/>
          <w:sz w:val="28"/>
          <w:szCs w:val="28"/>
        </w:rPr>
        <w:t>в текстовой части пояснительной записк</w:t>
      </w:r>
      <w:r w:rsidR="00C40050">
        <w:rPr>
          <w:rFonts w:ascii="Times New Roman" w:hAnsi="Times New Roman" w:cs="Times New Roman"/>
          <w:sz w:val="28"/>
          <w:szCs w:val="28"/>
        </w:rPr>
        <w:t>и</w:t>
      </w:r>
      <w:r w:rsidRPr="003120F6">
        <w:rPr>
          <w:rFonts w:ascii="Times New Roman" w:hAnsi="Times New Roman" w:cs="Times New Roman"/>
          <w:sz w:val="28"/>
          <w:szCs w:val="28"/>
        </w:rPr>
        <w:t xml:space="preserve"> не отражен факт проведения годовой инвентаризации при отсутствии расхождений по результатам инвентаризации, проведенной в целях подтверждения показател</w:t>
      </w:r>
      <w:r w:rsidR="00B93B4A" w:rsidRPr="003120F6">
        <w:rPr>
          <w:rFonts w:ascii="Times New Roman" w:hAnsi="Times New Roman" w:cs="Times New Roman"/>
          <w:sz w:val="28"/>
          <w:szCs w:val="28"/>
        </w:rPr>
        <w:t>ей годовой бюджетной отчетности.</w:t>
      </w:r>
      <w:r w:rsidR="006E6AA2" w:rsidRPr="003120F6">
        <w:rPr>
          <w:rFonts w:ascii="Times New Roman" w:hAnsi="Times New Roman" w:cs="Times New Roman"/>
          <w:sz w:val="28"/>
          <w:szCs w:val="28"/>
        </w:rPr>
        <w:t xml:space="preserve"> </w:t>
      </w:r>
      <w:r w:rsidR="00B93B4A" w:rsidRPr="003120F6">
        <w:rPr>
          <w:rFonts w:ascii="Times New Roman" w:hAnsi="Times New Roman" w:cs="Times New Roman"/>
          <w:sz w:val="28"/>
          <w:szCs w:val="28"/>
        </w:rPr>
        <w:t xml:space="preserve">По запросу контрольно-счетного органа не представлены </w:t>
      </w:r>
      <w:r w:rsidR="006E6AA2" w:rsidRPr="003120F6">
        <w:rPr>
          <w:rFonts w:ascii="Times New Roman" w:hAnsi="Times New Roman" w:cs="Times New Roman"/>
          <w:sz w:val="28"/>
          <w:szCs w:val="28"/>
        </w:rPr>
        <w:t xml:space="preserve"> инвентаризационные описи проведения инвентаризации основных средств и материальных запасов за 2018 год.</w:t>
      </w:r>
    </w:p>
    <w:p w:rsidR="002F5DA0" w:rsidRPr="003120F6" w:rsidRDefault="002F5DA0" w:rsidP="002F5DA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152 Инструкции </w:t>
      </w:r>
      <w:r w:rsidR="00030035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191н в текстовой части пояснительной записки в разделе 2 не указана  информация,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характеризующая результаты деятельности субъекта бюджетной отчетности за отчетный период, не нашедшая отражения в таблицах и приложениях, включаемых в раздел, а именно информация о мерах по повышению эффективности расходования бюджетных средств.</w:t>
      </w:r>
    </w:p>
    <w:p w:rsidR="00DE329B" w:rsidRPr="003120F6" w:rsidRDefault="00DE329B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Отсутствие в составе</w:t>
      </w:r>
      <w:r w:rsidR="00887027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бюджетной отчетности и в п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ояснительной записке отдельных форм бюджетной отчетности не обеспечивает в полном объеме необходимую информативность предусмотренных показателей и снижает степень прозра</w:t>
      </w:r>
      <w:r w:rsidR="00793FD8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чности бюджетной отчетности</w:t>
      </w:r>
      <w:r w:rsidR="00887027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4D5FEF" w:rsidRPr="003120F6" w:rsidRDefault="004D5FEF" w:rsidP="00344DE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</w:t>
      </w:r>
      <w:r w:rsidR="00344DE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344DE1"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 w:rsidR="00344DE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пункта 160 Инструкции </w:t>
      </w:r>
      <w:r w:rsidR="00030035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 w:rsidR="00344DE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191н 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сведениях о количестве подведомственных участников бюджетного процесса, учреждений и государственных (муниципальных) унитарных предприятий (ф.0503161) в графе 4 «на конец отчетного  периода»</w:t>
      </w:r>
      <w:r w:rsidRPr="003120F6">
        <w:t xml:space="preserve"> 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по строкам 010 и 030 указано  1 бюджетное учреждение. Фактически  у администрации Качульского сельсовета на конец отчетного периода подведомственных учреждений нет.</w:t>
      </w:r>
    </w:p>
    <w:p w:rsidR="006E662F" w:rsidRPr="003120F6" w:rsidRDefault="006E662F" w:rsidP="00344DE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="00226B9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сведениях об изменениях бюджетной росписи главного распорядителя бюджетных средств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ф. 0503163  указаны по кодам бюджетной классификации Российской Федерации, утвержденные на 2018 год объем бюджетных назначений  соответствующи</w:t>
      </w:r>
      <w:r w:rsidR="00226B9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й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 объему утвержденному решением Качульского сельского Совета депутатов от 25.12.2017 № 40-Р «О бюджете Качульского сельсовета на 2018 год и плановый период 2019-2020 годов» (далее-решение о бюджете) без учета последующих изменений в решение о бюджете</w:t>
      </w:r>
      <w:r w:rsidR="00226B9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)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proofErr w:type="gramEnd"/>
    </w:p>
    <w:p w:rsidR="00226B92" w:rsidRPr="003120F6" w:rsidRDefault="00226B92" w:rsidP="00344DE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нарушение 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пункта 162 Инструкции № 191н в форме 0503163 заполнены сведения по показателям бюджетной росписи, не содержащим отклонений по отношению к показателям, утвержденным на </w:t>
      </w:r>
      <w:proofErr w:type="gramStart"/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отчетный</w:t>
      </w:r>
      <w:proofErr w:type="gramEnd"/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финансовый год решением бюджете, без учета последующих изменений в решение о бюджете.</w:t>
      </w:r>
      <w:r w:rsidR="003D044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3D044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графе 3 формы 050316</w:t>
      </w:r>
      <w:r w:rsidR="003D044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кодам бюджетной классификации Российской Федерации </w:t>
      </w:r>
      <w:r w:rsidR="003D044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указаны 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объемы бюджетных назначений в сумме 7 266,1 тыс. рублей</w:t>
      </w:r>
      <w:r w:rsidR="003D044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что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 w:rsidR="003D044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объему в сумме 5 191,1 тыс. рублей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утвержденн</w:t>
      </w:r>
      <w:r w:rsidR="003D044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ому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3D044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сводной 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бюджетной росписью главного распорядителя бюджетных средств на отчетный финансовый год с учетом внесенных в нее изменений, оформленных надлежащим образом на отчетную дату.</w:t>
      </w:r>
      <w:proofErr w:type="gramEnd"/>
      <w:r w:rsidR="003D044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В графе 5 не заполнены причины изменений  показателей бюджетной росписи и решения о бюджете.</w:t>
      </w:r>
    </w:p>
    <w:p w:rsidR="006E662F" w:rsidRPr="003120F6" w:rsidRDefault="006E662F" w:rsidP="00344DE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Решением Качульского сельского Совета депутатов от 25.12.2018 № 55-Р (далее-решение от 25.12.2018 № 55-Р) утверждаются</w:t>
      </w:r>
      <w:r w:rsidR="006C3324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 прогнозируемый общий объем доходов в сумме 5077,5 тыс. рублей и  общей объем расходов в сумме 5078,6 тыс. рублей</w:t>
      </w:r>
      <w:r w:rsidR="006C3324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не соответствующие уточненным бюджетным назначениям  по доходам в сумме 5096,6 тыс. рублей</w:t>
      </w:r>
      <w:r w:rsidRPr="003120F6">
        <w:t xml:space="preserve"> 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по строке «итого»  в приложении № 2 «Доходы бюджета Качульского сельсовета» к решению от 25.12.2018 № 55, и по</w:t>
      </w:r>
      <w:proofErr w:type="gramEnd"/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расходам в сумме 5191,1 тыс. рублей  по строке «администрация Качульского сельсовета Каратузского района Красноярского края» в приложении № 3  без названия к решению от 25.12.2018 № 55 и утвержденной сводной бюджетной росписи на конец года.</w:t>
      </w:r>
    </w:p>
    <w:p w:rsidR="004C52D0" w:rsidRPr="003120F6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Проведённая внешняя проверка бюджетной отчётности показала следующее: </w:t>
      </w:r>
    </w:p>
    <w:p w:rsidR="004C52D0" w:rsidRPr="003120F6" w:rsidRDefault="00955B38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утверждённые бюджетные назначения, отражённые в отчёте об исполнении бюджета формы 0503</w:t>
      </w:r>
      <w:r w:rsidR="004B46D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970B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«Доходы бюджета» в сумме </w:t>
      </w:r>
      <w:r w:rsidR="004B46D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5 096,6 </w:t>
      </w:r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</w:t>
      </w:r>
      <w:r w:rsidR="002071F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71FD"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="004C52D0"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соответствуют</w:t>
      </w:r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общему объёму доходов</w:t>
      </w:r>
      <w:r w:rsidR="002071F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5</w:t>
      </w:r>
      <w:r w:rsidR="004B46D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71F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077,5 тыс. рублей</w:t>
      </w:r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утверждённому</w:t>
      </w:r>
      <w:r w:rsidR="004B46D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</w:t>
      </w:r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7B633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EB322B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.12.2018 № </w:t>
      </w:r>
      <w:r w:rsidR="007B633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55-Р</w:t>
      </w:r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</w:t>
      </w:r>
      <w:r w:rsidR="004B46D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соответствует требованиям Инструкции № 191н; </w:t>
      </w:r>
    </w:p>
    <w:p w:rsidR="004B46D3" w:rsidRPr="003120F6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-плановые бюджетные назначения, отражённые в отчёте о</w:t>
      </w:r>
      <w:r w:rsidR="00420D77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б исполнении бюджета формы 0503</w:t>
      </w:r>
      <w:r w:rsidR="004B46D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20D77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«Расходы бюджета» в сумме </w:t>
      </w:r>
      <w:r w:rsidR="004B46D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5 191,1</w:t>
      </w:r>
      <w:r w:rsidR="0022590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</w:t>
      </w:r>
      <w:r w:rsidR="004B46D3"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соответствуют</w:t>
      </w:r>
      <w:r w:rsidR="004B46D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общему объёму расходов в сумме 5077,5 тыс. рублей, утверждённому решением от 25.12.2018 № 55-Р, что не соответствует требованиям Инструкции № 191н; </w:t>
      </w:r>
    </w:p>
    <w:p w:rsidR="004C52D0" w:rsidRPr="003120F6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4C52D0" w:rsidRPr="003120F6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формы 0503168 «Сведения о движении нефинансовых активов» с аналогичными показателями соответствующих счетов формы </w:t>
      </w:r>
      <w:r w:rsidR="005A52F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0503120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меж</w:t>
      </w:r>
      <w:r w:rsidR="0031229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ду показателями не установлено;</w:t>
      </w:r>
    </w:p>
    <w:p w:rsidR="004C52D0" w:rsidRPr="003120F6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</w:t>
      </w:r>
      <w:r w:rsidR="0041106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 показателей не установлено;</w:t>
      </w:r>
    </w:p>
    <w:p w:rsidR="008F7F9E" w:rsidRPr="003120F6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8F7F9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оказатели ф. 0503121 фактические расходы</w:t>
      </w:r>
      <w:r w:rsidR="00F9578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</w:t>
      </w:r>
      <w:r w:rsidR="00F9578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351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аналитической информация о расходах, </w:t>
      </w:r>
      <w:r w:rsidR="00F9578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содержащейся в Справке  по заключению счетов бюджетного учета отчет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финансового года ф.0503110;</w:t>
      </w:r>
      <w:proofErr w:type="gramEnd"/>
    </w:p>
    <w:p w:rsidR="00420D77" w:rsidRPr="003120F6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</w:t>
      </w:r>
      <w:r w:rsidR="009776F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«расходы бюджета, всего» ф</w:t>
      </w:r>
      <w:r w:rsidR="00C0071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</w:t>
      </w:r>
      <w:r w:rsidR="009776F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20D77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7 соответствуют аналогичн</w:t>
      </w:r>
      <w:r w:rsidR="009776F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ому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9776F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="00C0071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</w:t>
      </w:r>
      <w:r w:rsidR="00CC439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23;</w:t>
      </w:r>
    </w:p>
    <w:p w:rsidR="009776F4" w:rsidRPr="003120F6" w:rsidRDefault="009776F4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по аналитической группе доходов раздела</w:t>
      </w:r>
      <w:proofErr w:type="gramStart"/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формы 0503117 не соответствуют аналогичному показателю формы 0503123, причина отклонения не отражена в текстовой части пояснительной записке ф. 0503160, что </w:t>
      </w: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191н;</w:t>
      </w:r>
    </w:p>
    <w:p w:rsidR="004C52D0" w:rsidRPr="003120F6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D23D9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9776F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F7443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776F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основных средств </w:t>
      </w:r>
      <w:r w:rsidR="004B46D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2 013,2</w:t>
      </w:r>
      <w:r w:rsidR="00AB04E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числе:</w:t>
      </w:r>
    </w:p>
    <w:p w:rsidR="00F7443A" w:rsidRPr="003120F6" w:rsidRDefault="009776F4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20,9</w:t>
      </w:r>
      <w:r w:rsidR="00F7443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F7443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рублей-жилые</w:t>
      </w:r>
      <w:proofErr w:type="gramEnd"/>
      <w:r w:rsidR="00F7443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4C52D0" w:rsidRPr="003120F6" w:rsidRDefault="009776F4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366,2</w:t>
      </w:r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рублей-нежилые</w:t>
      </w:r>
      <w:proofErr w:type="gramEnd"/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4C52D0" w:rsidRPr="003120F6" w:rsidRDefault="009776F4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459,8</w:t>
      </w:r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рублей-машины</w:t>
      </w:r>
      <w:proofErr w:type="gramEnd"/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оборудование;</w:t>
      </w:r>
    </w:p>
    <w:p w:rsidR="004C52D0" w:rsidRPr="003120F6" w:rsidRDefault="009776F4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1 083,5</w:t>
      </w:r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F27C5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транспортные</w:t>
      </w:r>
      <w:proofErr w:type="gramEnd"/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средства;</w:t>
      </w:r>
    </w:p>
    <w:p w:rsidR="008F27C5" w:rsidRPr="003120F6" w:rsidRDefault="009776F4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82,8</w:t>
      </w:r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рублей-производств</w:t>
      </w:r>
      <w:r w:rsidR="00D23D9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енный</w:t>
      </w:r>
      <w:proofErr w:type="gramEnd"/>
      <w:r w:rsidR="00D23D9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хозяйственный инвентарь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37BF" w:rsidRPr="003120F6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данным годовой отчётности (форма </w:t>
      </w:r>
      <w:r w:rsidR="005A52F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0503120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</w:t>
      </w:r>
      <w:proofErr w:type="gramStart"/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4B46D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21,4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793FD8" w:rsidRPr="003120F6" w:rsidRDefault="00793FD8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13 Федерального закона № 4</w:t>
      </w:r>
      <w:r w:rsidR="00B8263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02-ФЗ  «О бухгалтерском учете»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793FD8" w:rsidRPr="003120F6" w:rsidRDefault="00B10BF7" w:rsidP="00793FD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7 Инструкции </w:t>
      </w:r>
      <w:r w:rsidR="00030035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191н б</w:t>
      </w:r>
      <w:r w:rsidR="00793FD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джетная отчетность составляется </w:t>
      </w:r>
      <w:r w:rsidR="00793FD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регистрам синтетического учета.</w:t>
      </w:r>
      <w:proofErr w:type="gramEnd"/>
    </w:p>
    <w:p w:rsidR="00B10BF7" w:rsidRPr="003120F6" w:rsidRDefault="00B10BF7" w:rsidP="00B10BF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</w:t>
      </w: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334F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закона </w:t>
      </w:r>
      <w:r w:rsidR="00D334F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402-ФЗ, Инструкции №191н, администраци</w:t>
      </w:r>
      <w:r w:rsidR="00F5582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не ведутся регистры бухгалтерского учета (главная книга, журнал операций расчетов с подотчетными лицами; журнал операций расчетов с дебиторами по доходам; журнал операций расчетов по оплате труда; журнал операций по выбытию и перемещению нефинансовых активов; журнал по прочим операциям; журнал по санкционированию)</w:t>
      </w:r>
      <w:r w:rsidR="003046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3046A2" w:rsidRPr="003120F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запросу контрольно-счетного органа к проверке не представлены)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proofErr w:type="gramEnd"/>
    </w:p>
    <w:p w:rsidR="00B10BF7" w:rsidRPr="003120F6" w:rsidRDefault="00B10BF7" w:rsidP="00B10BF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 в  </w:t>
      </w: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54  приказа Министерства финансов Российской Федерации  </w:t>
      </w:r>
      <w:r w:rsidRPr="003120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от 01.12.2010 года № 157н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"Об утверждении единого плана 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 (муниципальных) учреждений и Инструкции по его применению" (дале</w:t>
      </w:r>
      <w:proofErr w:type="gramStart"/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334F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1EA9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№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157н), в администрации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не ведутся инвентарные карточки учета основных средств, в результате чего не сост</w:t>
      </w:r>
      <w:r w:rsidR="003046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авляется опись основных средств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46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3046A2" w:rsidRPr="003120F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 запросу контрольно-счетного органа к проверке не </w:t>
      </w:r>
      <w:proofErr w:type="gramStart"/>
      <w:r w:rsidR="003046A2" w:rsidRPr="003120F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представлены</w:t>
      </w:r>
      <w:proofErr w:type="gramEnd"/>
      <w:r w:rsidR="003046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B10BF7" w:rsidRPr="003120F6" w:rsidRDefault="00B10BF7" w:rsidP="00B10BF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119  </w:t>
      </w:r>
      <w:r w:rsidR="00D71EA9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№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157н, в администрации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отсутствует аналитический учет материальных запасов в разрезе материально ответственных лиц: не ведутся карточки количественно-суммового учета   материальных ценностей, оборотные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ведомости</w:t>
      </w:r>
      <w:r w:rsidR="003046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3046A2" w:rsidRPr="003120F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запросу контрольно-счетного органа к проверке не представлены</w:t>
      </w:r>
      <w:r w:rsidR="003046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10BF7" w:rsidRPr="003120F6" w:rsidRDefault="00B10BF7" w:rsidP="00B10BF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91 </w:t>
      </w:r>
      <w:r w:rsidR="00D71EA9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№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157н, операции по амортизации не отраж</w:t>
      </w:r>
      <w:r w:rsidR="00D334F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аются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журнале операций по выбытию и перемещению нефинансовых активов</w:t>
      </w:r>
      <w:r w:rsidR="003046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3046A2" w:rsidRPr="003120F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запросу контрольно-счетного органа к проверке не представлены</w:t>
      </w:r>
      <w:r w:rsidR="003046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2EA2" w:rsidRPr="003120F6" w:rsidRDefault="00E72EA2" w:rsidP="00E72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F6">
        <w:rPr>
          <w:rFonts w:ascii="Times New Roman" w:hAnsi="Times New Roman" w:cs="Times New Roman"/>
          <w:sz w:val="28"/>
          <w:szCs w:val="28"/>
        </w:rPr>
        <w:t xml:space="preserve">В соответствии с примечаниями статьи 15.11.  КоАП РФ   ведение счетов бухгалтерского учета вне применяемых регистров бухгалтерского учета;  составление бухгалтерской  (финансовой) отчетности не на основе данных, содержащихся в регистрах  бухгалтерского учета; отсутствие у экономического субъекта регистров бухгалтерского учета является  грубым </w:t>
      </w:r>
      <w:r w:rsidRPr="003120F6">
        <w:rPr>
          <w:rFonts w:ascii="Times New Roman" w:hAnsi="Times New Roman" w:cs="Times New Roman"/>
          <w:b/>
          <w:sz w:val="28"/>
          <w:szCs w:val="28"/>
        </w:rPr>
        <w:t>нарушением</w:t>
      </w:r>
      <w:r w:rsidRPr="003120F6">
        <w:rPr>
          <w:rFonts w:ascii="Times New Roman" w:hAnsi="Times New Roman" w:cs="Times New Roman"/>
          <w:sz w:val="28"/>
          <w:szCs w:val="28"/>
        </w:rPr>
        <w:t xml:space="preserve"> требований к бухгалтерскому учету, в том числе к бухгалтерской отчетности</w:t>
      </w:r>
      <w:r w:rsidR="003046A2" w:rsidRPr="003120F6">
        <w:rPr>
          <w:rFonts w:ascii="Times New Roman" w:hAnsi="Times New Roman" w:cs="Times New Roman"/>
          <w:sz w:val="28"/>
          <w:szCs w:val="28"/>
        </w:rPr>
        <w:t>.</w:t>
      </w:r>
      <w:r w:rsidRPr="0031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92" w:rsidRPr="003120F6" w:rsidRDefault="002B1492" w:rsidP="001440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5D530F"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  <w:r w:rsidR="00AF409C"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</w:t>
      </w:r>
      <w:r w:rsidR="00AF409C"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749A8" w:rsidRPr="003120F6" w:rsidRDefault="00E749A8" w:rsidP="001440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 3 «Распределение расходов бюджета Качульского сельсовета по разделам и подразделам классификации расходов бюджетов Российской Федерации за 2018 год»  к проекту решения, утвержденные бюджетные назначения  по расходам на 2018 год по разделу 01 «общегосударственные вопросы» в сумме 1 999,9 тыс. рублей не соответствуют сумме строк  по разделам подразделам 0102, 0104, 0111, в сумме 1 974,9 тыс. рублей.</w:t>
      </w:r>
      <w:proofErr w:type="gramEnd"/>
    </w:p>
    <w:p w:rsidR="002B1492" w:rsidRPr="003120F6" w:rsidRDefault="002B1492" w:rsidP="00481E0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AA505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3120F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A505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AA505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3120F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955B3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4 638,7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3120F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4 638,7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3120F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B6D6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3120F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0A718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0A718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носились </w:t>
      </w:r>
      <w:r w:rsidR="00DB6D63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</w:t>
      </w:r>
      <w:proofErr w:type="gramStart"/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приложений</w:t>
      </w:r>
      <w:proofErr w:type="gramEnd"/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25.12.2018 № 55-Р</w:t>
      </w:r>
      <w:r w:rsidR="00DD16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0A718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утверждено:</w:t>
      </w:r>
    </w:p>
    <w:p w:rsidR="002B1492" w:rsidRPr="003120F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5 096,6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рублей, то есть, увеличен на </w:t>
      </w:r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457,9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9,9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3120F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5 191,1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552,4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11,9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3120F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 до </w:t>
      </w:r>
      <w:r w:rsidR="00A51D1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94,5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3120F6" w:rsidRDefault="007A5865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показателям форм бюджетной отчетности</w:t>
      </w:r>
      <w:r w:rsidR="00D72427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A402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408E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4D7DC6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3120F6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-по доходам в сумме 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5 077,5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99,6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3120F6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5 078,6</w:t>
      </w:r>
      <w:r w:rsidR="00732B5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97,8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3120F6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3B0B49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EB322B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дефицитом</w:t>
      </w:r>
      <w:r w:rsidR="00621D1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1,1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3120F6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B0B49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3120F6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Pr="003120F6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3120F6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3120F6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16"/>
        <w:gridCol w:w="1535"/>
        <w:gridCol w:w="1159"/>
        <w:gridCol w:w="1585"/>
        <w:gridCol w:w="1418"/>
      </w:tblGrid>
      <w:tr w:rsidR="0053297E" w:rsidRPr="003120F6" w:rsidTr="00396C83">
        <w:trPr>
          <w:trHeight w:val="7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3297E" w:rsidRPr="003120F6" w:rsidTr="00396C83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5077,5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53297E" w:rsidRPr="003120F6" w:rsidTr="00396C83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5078,6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53297E" w:rsidRPr="003120F6" w:rsidTr="00396C83">
        <w:trPr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7E" w:rsidRPr="003120F6" w:rsidRDefault="0053297E" w:rsidP="00532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297E" w:rsidRPr="003120F6" w:rsidRDefault="0053297E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p w:rsidR="002B1492" w:rsidRPr="003120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5D530F" w:rsidRPr="003120F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Качульского</w:t>
      </w:r>
      <w:r w:rsidRPr="003120F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3120F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3120F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Pr="003120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3120F6" w:rsidRDefault="0087041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A402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72427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201</w:t>
      </w:r>
      <w:r w:rsidR="00396C6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5 077,5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3A402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99,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109,5</w:t>
      </w:r>
      <w:r w:rsidR="002B149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3120F6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370,5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92,6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3120F6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26,2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17777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402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</w:t>
      </w:r>
      <w:r w:rsidR="00EF6EB8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167,9</w:t>
      </w:r>
      <w:r w:rsidR="003A402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плана;</w:t>
      </w:r>
    </w:p>
    <w:p w:rsidR="002B1492" w:rsidRPr="003120F6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4 680,9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3120F6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9E66ED"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92,2</w:t>
      </w: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3120F6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5D530F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5976D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3120F6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100DE6" w:rsidRPr="003120F6" w:rsidRDefault="00EF6EB8" w:rsidP="00EF6EB8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3120F6">
        <w:rPr>
          <w:rFonts w:ascii="Times New Roman" w:eastAsia="Times New Roman" w:hAnsi="Times New Roman" w:cs="Times New Roman"/>
          <w:lang w:eastAsia="ar-SA"/>
        </w:rPr>
        <w:t>Т</w:t>
      </w:r>
      <w:r w:rsidR="00050710" w:rsidRPr="003120F6">
        <w:rPr>
          <w:rFonts w:ascii="Times New Roman" w:eastAsia="Times New Roman" w:hAnsi="Times New Roman" w:cs="Times New Roman"/>
          <w:lang w:eastAsia="ar-SA"/>
        </w:rPr>
        <w:t>ыс. руб.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3009"/>
        <w:gridCol w:w="1279"/>
        <w:gridCol w:w="1159"/>
        <w:gridCol w:w="1464"/>
        <w:gridCol w:w="1221"/>
        <w:gridCol w:w="1088"/>
      </w:tblGrid>
      <w:tr w:rsidR="00EF6EB8" w:rsidRPr="003120F6" w:rsidTr="009E66ED">
        <w:trPr>
          <w:trHeight w:val="255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EF6EB8" w:rsidRPr="003120F6" w:rsidTr="009E66ED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F6EB8" w:rsidRPr="003120F6" w:rsidTr="009E66ED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F6EB8" w:rsidRPr="003120F6" w:rsidTr="009E66ED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EF6EB8" w:rsidRPr="003120F6" w:rsidTr="009E66ED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EF6EB8" w:rsidRPr="003120F6" w:rsidTr="009E66ED">
        <w:trPr>
          <w:trHeight w:val="3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F6EB8" w:rsidRPr="003120F6" w:rsidTr="009E66ED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EF6EB8" w:rsidRPr="003120F6" w:rsidTr="009E66ED">
        <w:trPr>
          <w:trHeight w:val="2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EF6EB8" w:rsidRPr="003120F6" w:rsidTr="009E66ED">
        <w:trPr>
          <w:trHeight w:val="31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6EB8" w:rsidRPr="003120F6" w:rsidTr="009E66ED">
        <w:trPr>
          <w:trHeight w:val="4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F6EB8" w:rsidRPr="003120F6" w:rsidTr="009E66ED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F6EB8" w:rsidRPr="003120F6" w:rsidTr="009E66ED">
        <w:trPr>
          <w:trHeight w:val="55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F6EB8" w:rsidRPr="003120F6" w:rsidTr="009E66ED">
        <w:trPr>
          <w:trHeight w:val="3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F6EB8" w:rsidRPr="003120F6" w:rsidTr="009E66ED">
        <w:trPr>
          <w:trHeight w:val="36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EF6EB8" w:rsidRPr="003120F6" w:rsidTr="009E66ED">
        <w:trPr>
          <w:trHeight w:val="39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EF6EB8" w:rsidRPr="003120F6" w:rsidTr="009E66ED">
        <w:trPr>
          <w:trHeight w:val="3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EF6EB8" w:rsidRPr="003120F6" w:rsidTr="009E66ED">
        <w:trPr>
          <w:trHeight w:val="6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EF6EB8" w:rsidRPr="003120F6" w:rsidTr="009E66ED">
        <w:trPr>
          <w:trHeight w:val="5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EF6EB8" w:rsidRPr="003120F6" w:rsidTr="009E66ED">
        <w:trPr>
          <w:trHeight w:val="43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8" w:rsidRPr="003120F6" w:rsidRDefault="00EF6EB8" w:rsidP="00EF6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EF6EB8" w:rsidRPr="003120F6" w:rsidRDefault="00EF6EB8" w:rsidP="00EF6EB8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</w:p>
    <w:p w:rsidR="002B1492" w:rsidRPr="003120F6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представленных в таблице данных показал, что основным</w:t>
      </w:r>
      <w:r w:rsidR="00306ACB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FD736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акцизы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08E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079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 на имущество физических лиц</w:t>
      </w:r>
      <w:r w:rsidR="000C4E9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земельный налог</w:t>
      </w:r>
      <w:r w:rsidR="0024607D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F3F" w:rsidRPr="003120F6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312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53,6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111,0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3120F6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63,8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3120F6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312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9A079E" w:rsidRPr="00312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9E66ED" w:rsidRPr="00312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312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25,2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C4E9A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00,8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плану.</w:t>
      </w:r>
    </w:p>
    <w:p w:rsidR="00F90F3F" w:rsidRPr="003120F6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="005408E4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216,6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83,2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0C4E9A" w:rsidRPr="003120F6" w:rsidRDefault="000C4E9A" w:rsidP="000C4E9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менее 0,1% в структуре  доходов, исполнен в сумме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35,0% к уточненному плану.</w:t>
      </w:r>
    </w:p>
    <w:p w:rsidR="00F90F3F" w:rsidRPr="003120F6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="006C052C" w:rsidRPr="00312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312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A6B24" w:rsidRPr="00312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312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150E" w:rsidRPr="00312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9A079E" w:rsidRPr="00312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9E66ED" w:rsidRPr="00312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24607D" w:rsidRPr="00312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A6B24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="0024607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E66E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613,3</w:t>
      </w:r>
      <w:r w:rsidR="0024607D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0C4E9A" w:rsidRPr="003120F6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источник</w:t>
      </w:r>
      <w:r w:rsidR="00551DCB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в бюджет являются</w:t>
      </w:r>
      <w:r w:rsidR="000C4E9A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E9A" w:rsidRPr="003120F6" w:rsidRDefault="009E66ED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0C4E9A" w:rsidRPr="00312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C4E9A" w:rsidRPr="003120F6">
        <w:t xml:space="preserve"> </w:t>
      </w:r>
      <w:r w:rsidR="000C4E9A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0,3% в структуре доходов, исполнены в сумме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16,2</w:t>
      </w:r>
      <w:r w:rsidR="000C4E9A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E9A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4E9A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  <w:proofErr w:type="gramEnd"/>
    </w:p>
    <w:p w:rsidR="000C4E9A" w:rsidRPr="003120F6" w:rsidRDefault="009E66ED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Денежные взыскания (штрафы) за нарушение бюджетного законодательства (в части бюджетов сельских поселений)</w:t>
      </w:r>
      <w:r w:rsidR="000C4E9A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E9A" w:rsidRPr="003120F6">
        <w:t xml:space="preserve"> </w:t>
      </w:r>
      <w:r w:rsidR="000C4E9A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менее 0,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4E9A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0C4E9A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(первоначально в бюджете поселения не были предусмотрены).</w:t>
      </w:r>
    </w:p>
    <w:p w:rsidR="002B1492" w:rsidRPr="003120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9E66ED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4 680,9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9E66ED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100,0</w:t>
      </w:r>
      <w:r w:rsidRPr="003120F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3120F6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3120F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5D530F" w:rsidRPr="003120F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Качульского</w:t>
      </w:r>
      <w:r w:rsidRPr="003120F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870412" w:rsidRPr="003120F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3120F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3120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</w:t>
      </w:r>
      <w:r w:rsidR="00870412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форм бюджетной отчетности ф. 0503</w:t>
      </w:r>
      <w:r w:rsidR="009E66ED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="009A079E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="00870412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бюджетные ассигнования по расходам на 201</w:t>
      </w:r>
      <w:r w:rsidR="00870412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9E66ED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5 191,1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3120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5D530F" w:rsidRPr="003120F6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Качульского</w:t>
      </w:r>
      <w:r w:rsidRPr="003120F6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312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312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C76A21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9E66ED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5 078,6</w:t>
      </w:r>
      <w:r w:rsidRPr="003120F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9E66ED" w:rsidRPr="003120F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97,8</w:t>
      </w:r>
      <w:r w:rsidRPr="003120F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уточнённому годовому плану</w:t>
      </w:r>
      <w:r w:rsidR="002166BD" w:rsidRPr="003120F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 </w:t>
      </w:r>
      <w:r w:rsidR="009E66ED" w:rsidRPr="003120F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109,5</w:t>
      </w:r>
      <w:r w:rsidR="002166BD" w:rsidRPr="003120F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первоначально утвержденным назначениям</w:t>
      </w:r>
      <w:r w:rsidRPr="003120F6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</w:p>
    <w:p w:rsidR="002B1492" w:rsidRPr="003120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9E66ED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112,5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3120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5D530F"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Качульского</w:t>
      </w: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201</w:t>
      </w:r>
      <w:r w:rsidR="00C76A21"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</w:t>
      </w: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3120F6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3120F6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3120F6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7"/>
        <w:gridCol w:w="1083"/>
        <w:gridCol w:w="1495"/>
        <w:gridCol w:w="1159"/>
        <w:gridCol w:w="1585"/>
        <w:gridCol w:w="1221"/>
        <w:gridCol w:w="868"/>
      </w:tblGrid>
      <w:tr w:rsidR="00E749A8" w:rsidRPr="003120F6" w:rsidTr="00E749A8">
        <w:trPr>
          <w:trHeight w:val="153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E749A8" w:rsidRPr="003120F6" w:rsidTr="00E749A8">
        <w:trPr>
          <w:trHeight w:val="42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всего, </w:t>
            </w: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5078,6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9A8" w:rsidRPr="003120F6" w:rsidTr="00E749A8">
        <w:trPr>
          <w:trHeight w:val="48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1972,5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E749A8" w:rsidRPr="003120F6" w:rsidTr="00E749A8">
        <w:trPr>
          <w:trHeight w:val="61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E749A8" w:rsidRPr="003120F6" w:rsidTr="00E749A8">
        <w:trPr>
          <w:trHeight w:val="12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E749A8" w:rsidRPr="003120F6" w:rsidTr="00E749A8">
        <w:trPr>
          <w:trHeight w:val="37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9A8" w:rsidRPr="003120F6" w:rsidTr="00E749A8">
        <w:trPr>
          <w:trHeight w:val="54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9A8" w:rsidRPr="003120F6" w:rsidTr="00E749A8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E749A8" w:rsidRPr="003120F6" w:rsidTr="00E749A8">
        <w:trPr>
          <w:trHeight w:val="55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E749A8" w:rsidRPr="003120F6" w:rsidTr="00E749A8">
        <w:trPr>
          <w:trHeight w:val="6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749A8" w:rsidRPr="003120F6" w:rsidTr="00E749A8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749A8" w:rsidRPr="003120F6" w:rsidTr="00E749A8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9A8" w:rsidRPr="003120F6" w:rsidTr="00E749A8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E749A8" w:rsidRPr="003120F6" w:rsidTr="00E749A8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E749A8" w:rsidRPr="003120F6" w:rsidTr="00E749A8">
        <w:trPr>
          <w:trHeight w:val="36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E749A8" w:rsidRPr="003120F6" w:rsidTr="00E749A8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E749A8" w:rsidRPr="003120F6" w:rsidTr="00E749A8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1976,8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38,9</w:t>
            </w:r>
          </w:p>
        </w:tc>
      </w:tr>
      <w:tr w:rsidR="00E749A8" w:rsidRPr="003120F6" w:rsidTr="00E749A8">
        <w:trPr>
          <w:trHeight w:val="3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</w:tr>
      <w:tr w:rsidR="00E749A8" w:rsidRPr="003120F6" w:rsidTr="00E749A8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Здравоохранениен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749A8" w:rsidRPr="003120F6" w:rsidTr="00E749A8">
        <w:trPr>
          <w:trHeight w:val="3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749A8" w:rsidRPr="003120F6" w:rsidTr="00E749A8">
        <w:trPr>
          <w:trHeight w:val="7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749A8" w:rsidRPr="003120F6" w:rsidTr="00E749A8">
        <w:trPr>
          <w:trHeight w:val="69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A8" w:rsidRPr="003120F6" w:rsidRDefault="00E749A8" w:rsidP="00E74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EB322B" w:rsidRPr="003120F6" w:rsidRDefault="00EB322B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:rsidR="002B1492" w:rsidRPr="003120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Приоритетными направлениями расходования средств бюджета в отчётном периоде</w:t>
      </w:r>
      <w:r w:rsidR="0060150E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94B4E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60150E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94B4E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остаются 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расходы на </w:t>
      </w:r>
      <w:r w:rsidR="003452E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3452E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9E66ED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17,5</w:t>
      </w:r>
      <w:r w:rsidR="003452E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9E66ED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38,9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9E66ED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38,8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Pr="003120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E66ED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1,3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9A079E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0,3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60150E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национальная экономика-</w:t>
      </w:r>
      <w:r w:rsidR="008E2345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2,</w:t>
      </w:r>
      <w:r w:rsidR="003078B4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="0060150E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078B4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здравоохранение</w:t>
      </w:r>
      <w:r w:rsidR="003452E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-0,</w:t>
      </w:r>
      <w:r w:rsidR="003078B4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="003452E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312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9A079E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9A079E" w:rsidRPr="003120F6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60150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9A079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объеме, а именно, по разделу общегосударственные вопросы исполнение составило </w:t>
      </w:r>
      <w:r w:rsidR="003078B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98,6</w:t>
      </w:r>
      <w:r w:rsidR="00551DCB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% и жилищно-коммунальное хзозяйство-</w:t>
      </w:r>
      <w:r w:rsidR="003078B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94,1</w:t>
      </w:r>
      <w:r w:rsidR="0061162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9A079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gramStart"/>
      <w:r w:rsidR="009A079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национальная</w:t>
      </w:r>
      <w:proofErr w:type="gramEnd"/>
      <w:r w:rsidR="009A079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экономика-</w:t>
      </w:r>
      <w:r w:rsidR="003078B4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82,5</w:t>
      </w:r>
      <w:r w:rsidR="009A079E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D60C00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079E" w:rsidRPr="003120F6" w:rsidRDefault="009A079E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причинах неисполнения в полном объеме бюджетных назначений</w:t>
      </w:r>
      <w:r w:rsidR="00BD1FB5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1DCB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в формах бюджетной отчетности, так и в текстовой части пояснительной записке </w:t>
      </w:r>
      <w:r w:rsidR="003046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 0503160, </w:t>
      </w: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отсутствует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3120F6" w:rsidRDefault="00611624" w:rsidP="00133A3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</w:r>
      <w:r w:rsidR="002B1492" w:rsidRPr="003120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="002B1492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D530F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Качульского</w:t>
      </w:r>
      <w:r w:rsidR="002B1492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CF7A6C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</w:t>
      </w:r>
      <w:r w:rsidR="002B1492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был утвержден резервный фонд в размере </w:t>
      </w:r>
      <w:r w:rsidR="003078B4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0,5</w:t>
      </w:r>
      <w:r w:rsidR="002B1492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="002B1492" w:rsidRPr="003120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CF7A6C" w:rsidRPr="003120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8</w:t>
      </w:r>
      <w:r w:rsidR="002B1492" w:rsidRPr="003120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="002B1492" w:rsidRPr="00312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="002B1492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2E5FDA" w:rsidRPr="003120F6" w:rsidRDefault="008573E6" w:rsidP="00133A3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</w:r>
      <w:proofErr w:type="gramStart"/>
      <w:r w:rsidR="002E5FDA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составе  годового отчета об исполнении бюджета представлен отчет по резервному фонду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2E5FDA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 где плановые бюджетные ассигнования по резервному фонду  отражены в сумме 505 рублей, что </w:t>
      </w:r>
      <w:r w:rsidR="002E5FDA"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 w:rsidR="002E5FDA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утвержденным бюджетным назначениям в сумме 500 рублей  в приложении № 3 «Распределение расходов бюджета Качульского сельсовета по разделам и подразделам классификации расходов бюджетов Российской Федерации» к проекту решения.</w:t>
      </w:r>
      <w:proofErr w:type="gramEnd"/>
    </w:p>
    <w:p w:rsidR="002B1492" w:rsidRPr="003120F6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9A670D" w:rsidRPr="003120F6" w:rsidRDefault="009A670D" w:rsidP="009A670D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120F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2018 году в Качульском сельсовете, осуществлялась реализация одной муниципальной 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программы. </w:t>
      </w:r>
    </w:p>
    <w:p w:rsidR="009A670D" w:rsidRPr="003120F6" w:rsidRDefault="009A670D" w:rsidP="009A670D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201</w:t>
      </w: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</w:t>
      </w: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год  </w:t>
      </w: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утверждён в сумме</w:t>
      </w: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2E5FDA"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1 124,3</w:t>
      </w: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тыс</w:t>
      </w:r>
      <w:proofErr w:type="spellEnd"/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r w:rsidRPr="003120F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рублей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муниципальной программы исполнены в сумме </w:t>
      </w:r>
      <w:r w:rsidR="002E5FDA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1 039,2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тыс. рублей или на </w:t>
      </w:r>
      <w:r w:rsidR="002E5FDA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92,4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 w:rsidR="002E5FDA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85,1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9A670D" w:rsidRPr="003120F6" w:rsidRDefault="009A670D" w:rsidP="009A6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="00C40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Качульского</w:t>
      </w:r>
      <w:bookmarkStart w:id="0" w:name="_GoBack"/>
      <w:bookmarkEnd w:id="0"/>
      <w:r w:rsidRPr="003120F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2018 год составил </w:t>
      </w:r>
      <w:r w:rsidR="002E5FDA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20,5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9A670D" w:rsidRPr="003120F6" w:rsidRDefault="009A670D" w:rsidP="009A670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2018 год.</w:t>
      </w:r>
    </w:p>
    <w:p w:rsidR="009A670D" w:rsidRPr="003120F6" w:rsidRDefault="009A670D" w:rsidP="009A670D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9A670D" w:rsidRPr="003120F6" w:rsidRDefault="009A670D" w:rsidP="009A670D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3120F6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567"/>
        <w:gridCol w:w="1495"/>
        <w:gridCol w:w="1159"/>
        <w:gridCol w:w="1585"/>
        <w:gridCol w:w="1294"/>
      </w:tblGrid>
      <w:tr w:rsidR="002E5FDA" w:rsidRPr="003120F6" w:rsidTr="002E5FDA">
        <w:trPr>
          <w:trHeight w:val="1575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муниципальных программ, подпрограмм, программных мероприятий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E5FDA" w:rsidRPr="003120F6" w:rsidTr="002E5FDA">
        <w:trPr>
          <w:trHeight w:val="139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"Устойчивое обеспечение населения нео</w:t>
            </w:r>
            <w:r w:rsidR="00836189"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ходимыми услугами, создание комфортных условий проживания населения МО "Качульский сельсовет""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1039,2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2E5FDA" w:rsidRPr="003120F6" w:rsidTr="002E5FDA">
        <w:trPr>
          <w:trHeight w:val="64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 и ремонт автомобильных дорог в границах поселения"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2E5FDA" w:rsidRPr="003120F6" w:rsidTr="002E5FDA">
        <w:trPr>
          <w:trHeight w:val="90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и ликвидация последствий  чрезвычайных ситуаций в границах поселения, профилактика терроризма и экстремизма"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5FDA" w:rsidRPr="003120F6" w:rsidTr="002E5FDA">
        <w:trPr>
          <w:trHeight w:val="87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МО "Качульский сельсовет"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5FDA" w:rsidRPr="003120F6" w:rsidTr="002E5FDA">
        <w:trPr>
          <w:trHeight w:val="76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E5FDA" w:rsidRPr="003120F6" w:rsidTr="002E5FDA">
        <w:trPr>
          <w:trHeight w:val="60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0F6">
              <w:rPr>
                <w:rFonts w:ascii="Calibri" w:eastAsia="Times New Roman" w:hAnsi="Calibri" w:cs="Calibri"/>
                <w:color w:val="000000"/>
                <w:lang w:eastAsia="ru-RU"/>
              </w:rPr>
              <w:t>938,4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0F6">
              <w:rPr>
                <w:rFonts w:ascii="Calibri" w:eastAsia="Times New Roman" w:hAnsi="Calibri" w:cs="Calibri"/>
                <w:color w:val="000000"/>
                <w:lang w:eastAsia="ru-RU"/>
              </w:rPr>
              <w:t>883,6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DA" w:rsidRPr="003120F6" w:rsidRDefault="002E5FDA" w:rsidP="002E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</w:tbl>
    <w:p w:rsidR="002E5FDA" w:rsidRPr="003120F6" w:rsidRDefault="002E5FDA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Информация о причинах неисполнения в полном объеме бюджетных назначений по программным мероприятиям,   как в формах бюджетной отчетности, так и в текстовой части пояснительной записке ф. 0503160, отсутствует.</w:t>
      </w:r>
    </w:p>
    <w:p w:rsidR="002B1492" w:rsidRPr="003120F6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3120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20A59" w:rsidRPr="003120F6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</w:t>
      </w:r>
      <w:r w:rsidR="009C5DF0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Баланса ф</w:t>
      </w:r>
      <w:r w:rsidR="006154CF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ормы</w:t>
      </w:r>
      <w:r w:rsidR="009C5DF0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A52F2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0503120</w:t>
      </w:r>
      <w:r w:rsidR="0076454D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Сведений по дебиторской и кредиторской задолженности формы 0503169 </w:t>
      </w:r>
      <w:r w:rsidR="009C5DF0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дебиторская задолженность и кредиторская задолженность 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01.01.201</w:t>
      </w:r>
      <w:r w:rsidR="00714D7E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67250B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6454D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</w:t>
      </w:r>
      <w:r w:rsidR="002F19E5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="002F19E5" w:rsidRPr="003120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не подтверждено главной книгой</w:t>
      </w:r>
      <w:r w:rsidR="002F19E5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="00B20A59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67276" w:rsidRPr="003120F6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67276" w:rsidRPr="003120F6" w:rsidRDefault="00267276" w:rsidP="0026727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11.1.Годовая бюджетная отчётность за 2018 год представлена в контрольно-счетный орган с соблюдением сроков, установленных частью 3 статьи 264.4. Бюджетного кодекса Р</w:t>
      </w:r>
      <w:r w:rsidR="008E2345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8E2345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1FB5" w:rsidRPr="003120F6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11.2.</w:t>
      </w:r>
      <w:r w:rsidR="00BD1FB5" w:rsidRPr="003120F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Не соблюдены</w:t>
      </w:r>
      <w:r w:rsidR="00BD1FB5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требования Инструкции </w:t>
      </w:r>
      <w:r w:rsidR="00D71EA9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BD1FB5"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191н по составу и заполнению отдельных форм бюджетной отчетности.</w:t>
      </w:r>
    </w:p>
    <w:p w:rsidR="00BD1FB5" w:rsidRPr="003120F6" w:rsidRDefault="00BD1FB5" w:rsidP="00BD1FB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Отсутствие в составе пояснительной записке отдельных форм бюджетной отчетности не обеспечивает в полном объеме необходимую информативность предусмотренных показателей и снижает степень прозрачности бюджетной отчетности.</w:t>
      </w:r>
    </w:p>
    <w:p w:rsidR="00D334F1" w:rsidRPr="003120F6" w:rsidRDefault="00267276" w:rsidP="00D33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Calibri" w:hAnsi="Times New Roman" w:cs="Times New Roman"/>
          <w:sz w:val="28"/>
          <w:szCs w:val="28"/>
          <w:lang w:eastAsia="ar-SA"/>
        </w:rPr>
        <w:t>11.3.</w:t>
      </w:r>
      <w:r w:rsidR="00BD1FB5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34F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</w:t>
      </w:r>
      <w:r w:rsidR="00D334F1"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="00D334F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Федерального закона № 402-ФЗ, Инструкции №191н, </w:t>
      </w:r>
      <w:r w:rsidR="00D71EA9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№</w:t>
      </w:r>
      <w:r w:rsidR="00D334F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157н, администрацией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="00D334F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не ведутся </w:t>
      </w:r>
      <w:r w:rsidR="00D334F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регистры бухгалтерского учета, главная книга (</w:t>
      </w:r>
      <w:r w:rsidR="003046A2" w:rsidRPr="003120F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 запросу контрольно-счетного органа </w:t>
      </w:r>
      <w:r w:rsidR="00D334F1" w:rsidRPr="003120F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 проверке не представлены</w:t>
      </w:r>
      <w:r w:rsidR="00D334F1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72EA2" w:rsidRPr="003120F6" w:rsidRDefault="00E72EA2" w:rsidP="00D33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примечаниями статьи 15.11.  КоАП РФ   ведение счетов бухгалтерского учета вне применяемых регистров бухгалтерского учета;  составление бухгалтерской  (финансовой) отчетности не на основе данных, содержащихся в регистрах  бухгалтерского учета; отсутствие у экономического субъекта регистров бухгалтерского учета является  грубым </w:t>
      </w:r>
      <w:r w:rsidRPr="003120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нарушением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требований к бухгалтерскому учету, в том числе к бухгалтерской отчетности.</w:t>
      </w:r>
    </w:p>
    <w:p w:rsidR="00267276" w:rsidRPr="003120F6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11.4.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5D530F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Качульского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2018 год исполнены следующим образом: </w:t>
      </w:r>
    </w:p>
    <w:p w:rsidR="00267276" w:rsidRPr="003120F6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2E5FD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5 077,5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2E5FD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99,6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Налоговые и неналоговые доходы за 2018 год исполнены в сумме </w:t>
      </w:r>
      <w:r w:rsidR="002E5FD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396,7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что составляет </w:t>
      </w:r>
      <w:r w:rsidR="002E5FD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7,8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2E5FD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4 680,9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2E5FD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67276" w:rsidRPr="003120F6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2018 год исполнены в сумме </w:t>
      </w:r>
      <w:r w:rsidR="002E5FD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5 078,6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2E5FD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97,8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2E5FDA"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112,5</w:t>
      </w: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67276" w:rsidRPr="003120F6" w:rsidRDefault="00267276" w:rsidP="00267276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2018 год явился </w:t>
      </w:r>
      <w:r w:rsidR="0028283B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</w:t>
      </w:r>
      <w:r w:rsidR="00735D2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2E5FDA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1,1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BD1FB5" w:rsidRPr="003120F6" w:rsidRDefault="00BD1FB5" w:rsidP="00BD1FB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28283B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.Дебиторск</w:t>
      </w:r>
      <w:r w:rsidR="00D334F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ая задолженность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кредиторск</w:t>
      </w:r>
      <w:r w:rsidR="00D334F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ая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задолженност</w:t>
      </w:r>
      <w:r w:rsidR="00D334F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ь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состоянию на 01.01.2019 отсутствует</w:t>
      </w:r>
      <w:r w:rsidR="00D334F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(</w:t>
      </w:r>
      <w:r w:rsidR="00D334F1" w:rsidRPr="003120F6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hi-IN" w:bidi="hi-IN"/>
        </w:rPr>
        <w:t>не подтверждена главной книгой</w:t>
      </w:r>
      <w:r w:rsidR="00D334F1"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)</w:t>
      </w:r>
      <w:r w:rsidRPr="003120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267276" w:rsidRPr="003120F6" w:rsidRDefault="00267276" w:rsidP="0026727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3120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E72EA2" w:rsidRPr="003120F6" w:rsidRDefault="00267276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12.1.</w:t>
      </w:r>
      <w:r w:rsidR="00E72E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="00E72E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обеспечить  ведения бухгалтерского (бюджетного) учета в соответствии с действующим законодательством и</w:t>
      </w:r>
      <w:r w:rsidR="00E72EA2" w:rsidRPr="003120F6">
        <w:t xml:space="preserve"> </w:t>
      </w:r>
      <w:r w:rsidR="00E72E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информацией, определенной федеральными и отраслевыми стандартами.</w:t>
      </w:r>
    </w:p>
    <w:p w:rsidR="00267276" w:rsidRPr="003120F6" w:rsidRDefault="00E72EA2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12.2.</w:t>
      </w:r>
      <w:r w:rsidR="00267276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последующей работе обеспечить представление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об исполнении бюджета,</w:t>
      </w:r>
      <w:r w:rsidR="00267276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бюджетной отчётности с соблюдением требований Инструкции № 191н.</w:t>
      </w:r>
    </w:p>
    <w:p w:rsidR="00267276" w:rsidRPr="003120F6" w:rsidRDefault="00267276" w:rsidP="002672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312"/>
      <w:r w:rsidRPr="003120F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</w:t>
      </w:r>
      <w:r w:rsidR="00E72EA2" w:rsidRPr="003120F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3120F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 Изложенные в настоящем заключении замечания </w:t>
      </w:r>
      <w:r w:rsidR="00BD1FB5" w:rsidRPr="003120F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 нарушения </w:t>
      </w:r>
      <w:r w:rsidRPr="003120F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учесть при исполнении бюджета и формировании отчёта за 2019 год.</w:t>
      </w:r>
    </w:p>
    <w:bookmarkEnd w:id="1"/>
    <w:p w:rsidR="00E72EA2" w:rsidRPr="003120F6" w:rsidRDefault="00267276" w:rsidP="00267276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20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вышеизложенного,</w:t>
      </w:r>
      <w:r w:rsidR="00E72E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Качульском</w:t>
      </w:r>
      <w:r w:rsidR="00E72E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сельскому Совету депутатов при рассмотрении и утверждении отчета об исполнении бюджета </w:t>
      </w:r>
      <w:r w:rsidR="005D530F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="00E72EA2" w:rsidRPr="0031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2018 год учесть замечания и нарушения отраженные в настоящем заключении.</w:t>
      </w:r>
    </w:p>
    <w:p w:rsidR="003854CE" w:rsidRPr="003120F6" w:rsidRDefault="003854CE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3120F6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312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3B" w:rsidRDefault="00E66C3B" w:rsidP="00E72EA2">
      <w:pPr>
        <w:spacing w:after="0" w:line="240" w:lineRule="auto"/>
      </w:pPr>
      <w:r>
        <w:separator/>
      </w:r>
    </w:p>
  </w:endnote>
  <w:endnote w:type="continuationSeparator" w:id="0">
    <w:p w:rsidR="00E66C3B" w:rsidRDefault="00E66C3B" w:rsidP="00E7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109468"/>
      <w:docPartObj>
        <w:docPartGallery w:val="Page Numbers (Bottom of Page)"/>
        <w:docPartUnique/>
      </w:docPartObj>
    </w:sdtPr>
    <w:sdtEndPr/>
    <w:sdtContent>
      <w:p w:rsidR="00EF6EB8" w:rsidRDefault="00EF6E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050">
          <w:rPr>
            <w:noProof/>
          </w:rPr>
          <w:t>13</w:t>
        </w:r>
        <w:r>
          <w:fldChar w:fldCharType="end"/>
        </w:r>
      </w:p>
    </w:sdtContent>
  </w:sdt>
  <w:p w:rsidR="00EF6EB8" w:rsidRDefault="00EF6E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3B" w:rsidRDefault="00E66C3B" w:rsidP="00E72EA2">
      <w:pPr>
        <w:spacing w:after="0" w:line="240" w:lineRule="auto"/>
      </w:pPr>
      <w:r>
        <w:separator/>
      </w:r>
    </w:p>
  </w:footnote>
  <w:footnote w:type="continuationSeparator" w:id="0">
    <w:p w:rsidR="00E66C3B" w:rsidRDefault="00E66C3B" w:rsidP="00E7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293D"/>
    <w:rsid w:val="00014500"/>
    <w:rsid w:val="000148E0"/>
    <w:rsid w:val="00022904"/>
    <w:rsid w:val="00027E49"/>
    <w:rsid w:val="00030035"/>
    <w:rsid w:val="000307FF"/>
    <w:rsid w:val="00041FDE"/>
    <w:rsid w:val="000452CD"/>
    <w:rsid w:val="00045B0C"/>
    <w:rsid w:val="0004732B"/>
    <w:rsid w:val="00050710"/>
    <w:rsid w:val="0005095B"/>
    <w:rsid w:val="00053600"/>
    <w:rsid w:val="00071519"/>
    <w:rsid w:val="000741DE"/>
    <w:rsid w:val="00074574"/>
    <w:rsid w:val="000753E2"/>
    <w:rsid w:val="00076FC9"/>
    <w:rsid w:val="00077E49"/>
    <w:rsid w:val="000805A3"/>
    <w:rsid w:val="00080BA9"/>
    <w:rsid w:val="00091A22"/>
    <w:rsid w:val="000924A7"/>
    <w:rsid w:val="00093F62"/>
    <w:rsid w:val="00094826"/>
    <w:rsid w:val="000970B3"/>
    <w:rsid w:val="000A6F1E"/>
    <w:rsid w:val="000A718D"/>
    <w:rsid w:val="000B03DA"/>
    <w:rsid w:val="000C0C47"/>
    <w:rsid w:val="000C1DA8"/>
    <w:rsid w:val="000C4E9A"/>
    <w:rsid w:val="000D1986"/>
    <w:rsid w:val="000D47B4"/>
    <w:rsid w:val="000D6CD6"/>
    <w:rsid w:val="000E164D"/>
    <w:rsid w:val="000F396E"/>
    <w:rsid w:val="000F4CC1"/>
    <w:rsid w:val="000F7C3E"/>
    <w:rsid w:val="00100DE6"/>
    <w:rsid w:val="00105FA4"/>
    <w:rsid w:val="001109E3"/>
    <w:rsid w:val="00125439"/>
    <w:rsid w:val="0013092F"/>
    <w:rsid w:val="00133A31"/>
    <w:rsid w:val="001349CA"/>
    <w:rsid w:val="001421E3"/>
    <w:rsid w:val="001435D3"/>
    <w:rsid w:val="00144068"/>
    <w:rsid w:val="001555C4"/>
    <w:rsid w:val="00156CA6"/>
    <w:rsid w:val="00157204"/>
    <w:rsid w:val="0016422A"/>
    <w:rsid w:val="00166C70"/>
    <w:rsid w:val="00167BB3"/>
    <w:rsid w:val="0017777D"/>
    <w:rsid w:val="0018195E"/>
    <w:rsid w:val="0018334A"/>
    <w:rsid w:val="00184F14"/>
    <w:rsid w:val="001877FD"/>
    <w:rsid w:val="001A062B"/>
    <w:rsid w:val="001A1F38"/>
    <w:rsid w:val="001A6A57"/>
    <w:rsid w:val="001A6E45"/>
    <w:rsid w:val="001B5A71"/>
    <w:rsid w:val="001C4A52"/>
    <w:rsid w:val="001D1C83"/>
    <w:rsid w:val="001D262F"/>
    <w:rsid w:val="001E51E4"/>
    <w:rsid w:val="001E60AB"/>
    <w:rsid w:val="001F6EDF"/>
    <w:rsid w:val="00202434"/>
    <w:rsid w:val="002071FD"/>
    <w:rsid w:val="002114B1"/>
    <w:rsid w:val="00211FFB"/>
    <w:rsid w:val="002124B4"/>
    <w:rsid w:val="00213BA5"/>
    <w:rsid w:val="002166BD"/>
    <w:rsid w:val="00220CD1"/>
    <w:rsid w:val="00221844"/>
    <w:rsid w:val="00225901"/>
    <w:rsid w:val="00226B92"/>
    <w:rsid w:val="00230825"/>
    <w:rsid w:val="0023151E"/>
    <w:rsid w:val="0024265F"/>
    <w:rsid w:val="0024530E"/>
    <w:rsid w:val="0024607D"/>
    <w:rsid w:val="00246B64"/>
    <w:rsid w:val="00250ECF"/>
    <w:rsid w:val="00261FBF"/>
    <w:rsid w:val="00267276"/>
    <w:rsid w:val="002701DE"/>
    <w:rsid w:val="002738AD"/>
    <w:rsid w:val="00273C8C"/>
    <w:rsid w:val="002743E4"/>
    <w:rsid w:val="0028283B"/>
    <w:rsid w:val="00291C10"/>
    <w:rsid w:val="002941AB"/>
    <w:rsid w:val="00295F64"/>
    <w:rsid w:val="002A2F56"/>
    <w:rsid w:val="002B1492"/>
    <w:rsid w:val="002B1B44"/>
    <w:rsid w:val="002B253B"/>
    <w:rsid w:val="002B39C0"/>
    <w:rsid w:val="002B4191"/>
    <w:rsid w:val="002C7220"/>
    <w:rsid w:val="002E5FDA"/>
    <w:rsid w:val="002F1624"/>
    <w:rsid w:val="002F19E5"/>
    <w:rsid w:val="002F5DA0"/>
    <w:rsid w:val="00300945"/>
    <w:rsid w:val="00304651"/>
    <w:rsid w:val="003046A2"/>
    <w:rsid w:val="00306ACB"/>
    <w:rsid w:val="003078B4"/>
    <w:rsid w:val="003119C5"/>
    <w:rsid w:val="00311F8D"/>
    <w:rsid w:val="003120F6"/>
    <w:rsid w:val="00312290"/>
    <w:rsid w:val="00320F9F"/>
    <w:rsid w:val="003234DA"/>
    <w:rsid w:val="00334BC1"/>
    <w:rsid w:val="003358AB"/>
    <w:rsid w:val="00335CAA"/>
    <w:rsid w:val="0034233A"/>
    <w:rsid w:val="00344DE1"/>
    <w:rsid w:val="003452E2"/>
    <w:rsid w:val="00346CF2"/>
    <w:rsid w:val="00356C36"/>
    <w:rsid w:val="00366D08"/>
    <w:rsid w:val="00373C36"/>
    <w:rsid w:val="003854CE"/>
    <w:rsid w:val="00385D0C"/>
    <w:rsid w:val="003909D6"/>
    <w:rsid w:val="00390C92"/>
    <w:rsid w:val="0039222E"/>
    <w:rsid w:val="00392879"/>
    <w:rsid w:val="00395B56"/>
    <w:rsid w:val="00396C6F"/>
    <w:rsid w:val="00396C83"/>
    <w:rsid w:val="003A17B9"/>
    <w:rsid w:val="003A1C7F"/>
    <w:rsid w:val="003A402D"/>
    <w:rsid w:val="003A5091"/>
    <w:rsid w:val="003A50E3"/>
    <w:rsid w:val="003A5488"/>
    <w:rsid w:val="003B0B49"/>
    <w:rsid w:val="003C22DA"/>
    <w:rsid w:val="003C2F7C"/>
    <w:rsid w:val="003C3813"/>
    <w:rsid w:val="003D0441"/>
    <w:rsid w:val="003E0951"/>
    <w:rsid w:val="003E0CA1"/>
    <w:rsid w:val="003E11AF"/>
    <w:rsid w:val="003E1EDE"/>
    <w:rsid w:val="003E4713"/>
    <w:rsid w:val="003E4F4C"/>
    <w:rsid w:val="003E6C0D"/>
    <w:rsid w:val="00404109"/>
    <w:rsid w:val="0041106D"/>
    <w:rsid w:val="00414229"/>
    <w:rsid w:val="004168B3"/>
    <w:rsid w:val="00420D77"/>
    <w:rsid w:val="00421215"/>
    <w:rsid w:val="00421D03"/>
    <w:rsid w:val="00422084"/>
    <w:rsid w:val="00433B14"/>
    <w:rsid w:val="00445778"/>
    <w:rsid w:val="00445F9A"/>
    <w:rsid w:val="00446226"/>
    <w:rsid w:val="00453DFD"/>
    <w:rsid w:val="00463743"/>
    <w:rsid w:val="00465D6D"/>
    <w:rsid w:val="00476C4E"/>
    <w:rsid w:val="00481E02"/>
    <w:rsid w:val="00482370"/>
    <w:rsid w:val="004943FC"/>
    <w:rsid w:val="004A12F2"/>
    <w:rsid w:val="004A346F"/>
    <w:rsid w:val="004B0AE7"/>
    <w:rsid w:val="004B46D3"/>
    <w:rsid w:val="004B71BC"/>
    <w:rsid w:val="004C3459"/>
    <w:rsid w:val="004C52D0"/>
    <w:rsid w:val="004D0BFC"/>
    <w:rsid w:val="004D2402"/>
    <w:rsid w:val="004D5FEF"/>
    <w:rsid w:val="004D74FA"/>
    <w:rsid w:val="004D7DC6"/>
    <w:rsid w:val="004E1672"/>
    <w:rsid w:val="004E7733"/>
    <w:rsid w:val="004F17F0"/>
    <w:rsid w:val="004F618A"/>
    <w:rsid w:val="00502A64"/>
    <w:rsid w:val="005042C7"/>
    <w:rsid w:val="00505F71"/>
    <w:rsid w:val="00515A3D"/>
    <w:rsid w:val="00517BAB"/>
    <w:rsid w:val="005209D1"/>
    <w:rsid w:val="005215DC"/>
    <w:rsid w:val="00525210"/>
    <w:rsid w:val="005279BB"/>
    <w:rsid w:val="00531698"/>
    <w:rsid w:val="005316E6"/>
    <w:rsid w:val="00531BC2"/>
    <w:rsid w:val="0053297E"/>
    <w:rsid w:val="00535EC3"/>
    <w:rsid w:val="00537307"/>
    <w:rsid w:val="0054020E"/>
    <w:rsid w:val="005408E4"/>
    <w:rsid w:val="00543D5F"/>
    <w:rsid w:val="005477A3"/>
    <w:rsid w:val="00551DCB"/>
    <w:rsid w:val="00553164"/>
    <w:rsid w:val="00563A23"/>
    <w:rsid w:val="005732CE"/>
    <w:rsid w:val="00573509"/>
    <w:rsid w:val="00575845"/>
    <w:rsid w:val="00577828"/>
    <w:rsid w:val="00582CCC"/>
    <w:rsid w:val="005855C0"/>
    <w:rsid w:val="00586CD4"/>
    <w:rsid w:val="005879C0"/>
    <w:rsid w:val="00587AEF"/>
    <w:rsid w:val="00592A58"/>
    <w:rsid w:val="00592E3A"/>
    <w:rsid w:val="00595997"/>
    <w:rsid w:val="005976DA"/>
    <w:rsid w:val="005A52F2"/>
    <w:rsid w:val="005A5CC1"/>
    <w:rsid w:val="005A7F62"/>
    <w:rsid w:val="005B6BA6"/>
    <w:rsid w:val="005C0A2D"/>
    <w:rsid w:val="005C3490"/>
    <w:rsid w:val="005D20D3"/>
    <w:rsid w:val="005D32A5"/>
    <w:rsid w:val="005D49CD"/>
    <w:rsid w:val="005D530F"/>
    <w:rsid w:val="005D58A5"/>
    <w:rsid w:val="005E2B95"/>
    <w:rsid w:val="005E454D"/>
    <w:rsid w:val="005E6B8A"/>
    <w:rsid w:val="0060150E"/>
    <w:rsid w:val="00603457"/>
    <w:rsid w:val="00607C91"/>
    <w:rsid w:val="0061000E"/>
    <w:rsid w:val="00610808"/>
    <w:rsid w:val="006108F5"/>
    <w:rsid w:val="00611574"/>
    <w:rsid w:val="00611624"/>
    <w:rsid w:val="00612027"/>
    <w:rsid w:val="00612374"/>
    <w:rsid w:val="006154CF"/>
    <w:rsid w:val="00621270"/>
    <w:rsid w:val="00621425"/>
    <w:rsid w:val="00621D14"/>
    <w:rsid w:val="00624F55"/>
    <w:rsid w:val="00626AA9"/>
    <w:rsid w:val="0063033F"/>
    <w:rsid w:val="00630747"/>
    <w:rsid w:val="006309C0"/>
    <w:rsid w:val="00631F8C"/>
    <w:rsid w:val="00636490"/>
    <w:rsid w:val="00636A7E"/>
    <w:rsid w:val="00642CE5"/>
    <w:rsid w:val="00642E52"/>
    <w:rsid w:val="00643D0F"/>
    <w:rsid w:val="00657098"/>
    <w:rsid w:val="0067250B"/>
    <w:rsid w:val="00674CF4"/>
    <w:rsid w:val="00682259"/>
    <w:rsid w:val="0068787F"/>
    <w:rsid w:val="00696324"/>
    <w:rsid w:val="006A0BB2"/>
    <w:rsid w:val="006A659E"/>
    <w:rsid w:val="006A7EAD"/>
    <w:rsid w:val="006C052C"/>
    <w:rsid w:val="006C1058"/>
    <w:rsid w:val="006C1E46"/>
    <w:rsid w:val="006C3324"/>
    <w:rsid w:val="006D0ECA"/>
    <w:rsid w:val="006D7219"/>
    <w:rsid w:val="006D77D2"/>
    <w:rsid w:val="006E0567"/>
    <w:rsid w:val="006E662F"/>
    <w:rsid w:val="006E6AA2"/>
    <w:rsid w:val="006E7C72"/>
    <w:rsid w:val="006F1DAA"/>
    <w:rsid w:val="006F2605"/>
    <w:rsid w:val="006F4AB1"/>
    <w:rsid w:val="006F4EA9"/>
    <w:rsid w:val="006F7034"/>
    <w:rsid w:val="00701E7B"/>
    <w:rsid w:val="00702B40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49A6"/>
    <w:rsid w:val="00735D22"/>
    <w:rsid w:val="007376BC"/>
    <w:rsid w:val="0074464D"/>
    <w:rsid w:val="00744657"/>
    <w:rsid w:val="00744CD4"/>
    <w:rsid w:val="00744F56"/>
    <w:rsid w:val="0074698E"/>
    <w:rsid w:val="00752159"/>
    <w:rsid w:val="00753E7C"/>
    <w:rsid w:val="00754D63"/>
    <w:rsid w:val="00761662"/>
    <w:rsid w:val="0076333D"/>
    <w:rsid w:val="0076454D"/>
    <w:rsid w:val="0076474D"/>
    <w:rsid w:val="007719E0"/>
    <w:rsid w:val="0077389B"/>
    <w:rsid w:val="00775719"/>
    <w:rsid w:val="00775783"/>
    <w:rsid w:val="007767B5"/>
    <w:rsid w:val="00782AED"/>
    <w:rsid w:val="00782D0E"/>
    <w:rsid w:val="00785D8F"/>
    <w:rsid w:val="007937BF"/>
    <w:rsid w:val="00793FD8"/>
    <w:rsid w:val="00794B4E"/>
    <w:rsid w:val="0079508E"/>
    <w:rsid w:val="00795396"/>
    <w:rsid w:val="007A5865"/>
    <w:rsid w:val="007B1852"/>
    <w:rsid w:val="007B633E"/>
    <w:rsid w:val="007B73FB"/>
    <w:rsid w:val="007B7F8F"/>
    <w:rsid w:val="007C2E7E"/>
    <w:rsid w:val="007C4869"/>
    <w:rsid w:val="007D0412"/>
    <w:rsid w:val="007D2CD5"/>
    <w:rsid w:val="007D539D"/>
    <w:rsid w:val="007E556F"/>
    <w:rsid w:val="007E5589"/>
    <w:rsid w:val="007F184D"/>
    <w:rsid w:val="0080364C"/>
    <w:rsid w:val="00804DA4"/>
    <w:rsid w:val="00807F03"/>
    <w:rsid w:val="008109F1"/>
    <w:rsid w:val="00817C7F"/>
    <w:rsid w:val="008207EC"/>
    <w:rsid w:val="00826A6C"/>
    <w:rsid w:val="00836189"/>
    <w:rsid w:val="008375D9"/>
    <w:rsid w:val="00837C40"/>
    <w:rsid w:val="008429C2"/>
    <w:rsid w:val="008517BA"/>
    <w:rsid w:val="008573E6"/>
    <w:rsid w:val="00860CEC"/>
    <w:rsid w:val="00863256"/>
    <w:rsid w:val="008638D1"/>
    <w:rsid w:val="008647F5"/>
    <w:rsid w:val="00867F8F"/>
    <w:rsid w:val="00870412"/>
    <w:rsid w:val="00871D99"/>
    <w:rsid w:val="00874E70"/>
    <w:rsid w:val="008822D5"/>
    <w:rsid w:val="00883510"/>
    <w:rsid w:val="00886178"/>
    <w:rsid w:val="00887027"/>
    <w:rsid w:val="00887874"/>
    <w:rsid w:val="00896126"/>
    <w:rsid w:val="008B3FF8"/>
    <w:rsid w:val="008B63A5"/>
    <w:rsid w:val="008D192A"/>
    <w:rsid w:val="008E2345"/>
    <w:rsid w:val="008F2572"/>
    <w:rsid w:val="008F27C5"/>
    <w:rsid w:val="008F4690"/>
    <w:rsid w:val="008F7F9E"/>
    <w:rsid w:val="00906CA3"/>
    <w:rsid w:val="00912198"/>
    <w:rsid w:val="009152D6"/>
    <w:rsid w:val="00915B52"/>
    <w:rsid w:val="00917C1E"/>
    <w:rsid w:val="00923E26"/>
    <w:rsid w:val="00935415"/>
    <w:rsid w:val="0093738E"/>
    <w:rsid w:val="009479AB"/>
    <w:rsid w:val="00950FE8"/>
    <w:rsid w:val="009546BC"/>
    <w:rsid w:val="0095534C"/>
    <w:rsid w:val="00955B38"/>
    <w:rsid w:val="00957DBE"/>
    <w:rsid w:val="00961F8F"/>
    <w:rsid w:val="009665EB"/>
    <w:rsid w:val="00967CAE"/>
    <w:rsid w:val="00970E42"/>
    <w:rsid w:val="00974729"/>
    <w:rsid w:val="009772D1"/>
    <w:rsid w:val="009776F4"/>
    <w:rsid w:val="00981C25"/>
    <w:rsid w:val="00982A03"/>
    <w:rsid w:val="00983089"/>
    <w:rsid w:val="00983238"/>
    <w:rsid w:val="009868E5"/>
    <w:rsid w:val="00987ECE"/>
    <w:rsid w:val="00992EAF"/>
    <w:rsid w:val="009A079E"/>
    <w:rsid w:val="009A27C5"/>
    <w:rsid w:val="009A670D"/>
    <w:rsid w:val="009A6B24"/>
    <w:rsid w:val="009B125C"/>
    <w:rsid w:val="009B17F8"/>
    <w:rsid w:val="009B2794"/>
    <w:rsid w:val="009C5DF0"/>
    <w:rsid w:val="009D0D42"/>
    <w:rsid w:val="009D1C90"/>
    <w:rsid w:val="009D3B94"/>
    <w:rsid w:val="009D4F29"/>
    <w:rsid w:val="009E11AA"/>
    <w:rsid w:val="009E2C80"/>
    <w:rsid w:val="009E5FA0"/>
    <w:rsid w:val="009E66ED"/>
    <w:rsid w:val="009F0B0F"/>
    <w:rsid w:val="009F68EC"/>
    <w:rsid w:val="00A02119"/>
    <w:rsid w:val="00A030BC"/>
    <w:rsid w:val="00A10FF6"/>
    <w:rsid w:val="00A13975"/>
    <w:rsid w:val="00A174BD"/>
    <w:rsid w:val="00A20487"/>
    <w:rsid w:val="00A26623"/>
    <w:rsid w:val="00A31416"/>
    <w:rsid w:val="00A33C03"/>
    <w:rsid w:val="00A36849"/>
    <w:rsid w:val="00A36C82"/>
    <w:rsid w:val="00A37478"/>
    <w:rsid w:val="00A378AD"/>
    <w:rsid w:val="00A40633"/>
    <w:rsid w:val="00A41C9C"/>
    <w:rsid w:val="00A45105"/>
    <w:rsid w:val="00A4527B"/>
    <w:rsid w:val="00A51D1F"/>
    <w:rsid w:val="00A65D72"/>
    <w:rsid w:val="00A71274"/>
    <w:rsid w:val="00A71C84"/>
    <w:rsid w:val="00A766EA"/>
    <w:rsid w:val="00A84647"/>
    <w:rsid w:val="00AA2AC6"/>
    <w:rsid w:val="00AA3FE5"/>
    <w:rsid w:val="00AA47D6"/>
    <w:rsid w:val="00AA5051"/>
    <w:rsid w:val="00AB04E3"/>
    <w:rsid w:val="00AB0FAF"/>
    <w:rsid w:val="00AB3FF3"/>
    <w:rsid w:val="00AB4F59"/>
    <w:rsid w:val="00AC329C"/>
    <w:rsid w:val="00AC3B10"/>
    <w:rsid w:val="00AC5D01"/>
    <w:rsid w:val="00AD57FE"/>
    <w:rsid w:val="00AD6169"/>
    <w:rsid w:val="00AE18C9"/>
    <w:rsid w:val="00AE32D2"/>
    <w:rsid w:val="00AF2E30"/>
    <w:rsid w:val="00AF409C"/>
    <w:rsid w:val="00B01498"/>
    <w:rsid w:val="00B04819"/>
    <w:rsid w:val="00B10BF7"/>
    <w:rsid w:val="00B11CCD"/>
    <w:rsid w:val="00B20A59"/>
    <w:rsid w:val="00B22F92"/>
    <w:rsid w:val="00B255A4"/>
    <w:rsid w:val="00B27320"/>
    <w:rsid w:val="00B27717"/>
    <w:rsid w:val="00B3657E"/>
    <w:rsid w:val="00B36E58"/>
    <w:rsid w:val="00B36F50"/>
    <w:rsid w:val="00B37054"/>
    <w:rsid w:val="00B45051"/>
    <w:rsid w:val="00B51469"/>
    <w:rsid w:val="00B51E72"/>
    <w:rsid w:val="00B55B9B"/>
    <w:rsid w:val="00B6123B"/>
    <w:rsid w:val="00B645A7"/>
    <w:rsid w:val="00B70BA9"/>
    <w:rsid w:val="00B81258"/>
    <w:rsid w:val="00B82634"/>
    <w:rsid w:val="00B849D0"/>
    <w:rsid w:val="00B870B2"/>
    <w:rsid w:val="00B907DA"/>
    <w:rsid w:val="00B90A05"/>
    <w:rsid w:val="00B93B4A"/>
    <w:rsid w:val="00BA0961"/>
    <w:rsid w:val="00BA1054"/>
    <w:rsid w:val="00BA2B4F"/>
    <w:rsid w:val="00BB0460"/>
    <w:rsid w:val="00BC3A66"/>
    <w:rsid w:val="00BC4C33"/>
    <w:rsid w:val="00BC4F4A"/>
    <w:rsid w:val="00BD1FB5"/>
    <w:rsid w:val="00BE08F2"/>
    <w:rsid w:val="00BE6451"/>
    <w:rsid w:val="00BF4479"/>
    <w:rsid w:val="00BF6A99"/>
    <w:rsid w:val="00BF7BA6"/>
    <w:rsid w:val="00C001C9"/>
    <w:rsid w:val="00C0071E"/>
    <w:rsid w:val="00C02589"/>
    <w:rsid w:val="00C06E0B"/>
    <w:rsid w:val="00C0787D"/>
    <w:rsid w:val="00C07E68"/>
    <w:rsid w:val="00C10375"/>
    <w:rsid w:val="00C11488"/>
    <w:rsid w:val="00C22455"/>
    <w:rsid w:val="00C22FB7"/>
    <w:rsid w:val="00C40050"/>
    <w:rsid w:val="00C473E7"/>
    <w:rsid w:val="00C51D93"/>
    <w:rsid w:val="00C54AE4"/>
    <w:rsid w:val="00C61CB9"/>
    <w:rsid w:val="00C64856"/>
    <w:rsid w:val="00C64FFD"/>
    <w:rsid w:val="00C66798"/>
    <w:rsid w:val="00C71682"/>
    <w:rsid w:val="00C73EF4"/>
    <w:rsid w:val="00C75601"/>
    <w:rsid w:val="00C765D6"/>
    <w:rsid w:val="00C76A21"/>
    <w:rsid w:val="00C92CAB"/>
    <w:rsid w:val="00C935CB"/>
    <w:rsid w:val="00C978F8"/>
    <w:rsid w:val="00CA389E"/>
    <w:rsid w:val="00CA53AD"/>
    <w:rsid w:val="00CB417C"/>
    <w:rsid w:val="00CB4BE8"/>
    <w:rsid w:val="00CC1CFC"/>
    <w:rsid w:val="00CC37DA"/>
    <w:rsid w:val="00CC439A"/>
    <w:rsid w:val="00CC4ED4"/>
    <w:rsid w:val="00CE19EE"/>
    <w:rsid w:val="00CE4EAB"/>
    <w:rsid w:val="00CF3234"/>
    <w:rsid w:val="00CF7A6C"/>
    <w:rsid w:val="00D032ED"/>
    <w:rsid w:val="00D070C1"/>
    <w:rsid w:val="00D12C9C"/>
    <w:rsid w:val="00D14943"/>
    <w:rsid w:val="00D14B13"/>
    <w:rsid w:val="00D16995"/>
    <w:rsid w:val="00D21853"/>
    <w:rsid w:val="00D22D40"/>
    <w:rsid w:val="00D23D90"/>
    <w:rsid w:val="00D25279"/>
    <w:rsid w:val="00D32000"/>
    <w:rsid w:val="00D334F1"/>
    <w:rsid w:val="00D33FBC"/>
    <w:rsid w:val="00D362AE"/>
    <w:rsid w:val="00D432C8"/>
    <w:rsid w:val="00D53A6A"/>
    <w:rsid w:val="00D60C00"/>
    <w:rsid w:val="00D71C07"/>
    <w:rsid w:val="00D71EA9"/>
    <w:rsid w:val="00D72427"/>
    <w:rsid w:val="00D74120"/>
    <w:rsid w:val="00D7493E"/>
    <w:rsid w:val="00D7635D"/>
    <w:rsid w:val="00DA218A"/>
    <w:rsid w:val="00DB14E3"/>
    <w:rsid w:val="00DB6BE2"/>
    <w:rsid w:val="00DB6D63"/>
    <w:rsid w:val="00DC1562"/>
    <w:rsid w:val="00DC2527"/>
    <w:rsid w:val="00DC272F"/>
    <w:rsid w:val="00DC4A2A"/>
    <w:rsid w:val="00DD161F"/>
    <w:rsid w:val="00DD4D08"/>
    <w:rsid w:val="00DD5B34"/>
    <w:rsid w:val="00DD7164"/>
    <w:rsid w:val="00DE08F9"/>
    <w:rsid w:val="00DE329B"/>
    <w:rsid w:val="00DF0772"/>
    <w:rsid w:val="00DF1E94"/>
    <w:rsid w:val="00DF3CE8"/>
    <w:rsid w:val="00DF623A"/>
    <w:rsid w:val="00E00EAC"/>
    <w:rsid w:val="00E03447"/>
    <w:rsid w:val="00E05D13"/>
    <w:rsid w:val="00E05D36"/>
    <w:rsid w:val="00E11874"/>
    <w:rsid w:val="00E208CB"/>
    <w:rsid w:val="00E30A57"/>
    <w:rsid w:val="00E32949"/>
    <w:rsid w:val="00E347A3"/>
    <w:rsid w:val="00E4168E"/>
    <w:rsid w:val="00E417A4"/>
    <w:rsid w:val="00E42393"/>
    <w:rsid w:val="00E440D4"/>
    <w:rsid w:val="00E44605"/>
    <w:rsid w:val="00E502B1"/>
    <w:rsid w:val="00E541F7"/>
    <w:rsid w:val="00E57033"/>
    <w:rsid w:val="00E60121"/>
    <w:rsid w:val="00E61F3F"/>
    <w:rsid w:val="00E66C3B"/>
    <w:rsid w:val="00E70829"/>
    <w:rsid w:val="00E72EA2"/>
    <w:rsid w:val="00E749A8"/>
    <w:rsid w:val="00E74B57"/>
    <w:rsid w:val="00E74DF9"/>
    <w:rsid w:val="00E80B79"/>
    <w:rsid w:val="00E83EA6"/>
    <w:rsid w:val="00E87185"/>
    <w:rsid w:val="00E91A27"/>
    <w:rsid w:val="00E91E00"/>
    <w:rsid w:val="00E92854"/>
    <w:rsid w:val="00E92DAC"/>
    <w:rsid w:val="00E947BE"/>
    <w:rsid w:val="00EA5E86"/>
    <w:rsid w:val="00EB1D16"/>
    <w:rsid w:val="00EB322B"/>
    <w:rsid w:val="00EB351C"/>
    <w:rsid w:val="00EC0E30"/>
    <w:rsid w:val="00EC0EDB"/>
    <w:rsid w:val="00EC44D3"/>
    <w:rsid w:val="00ED019B"/>
    <w:rsid w:val="00ED5A20"/>
    <w:rsid w:val="00EE1A9C"/>
    <w:rsid w:val="00EE318C"/>
    <w:rsid w:val="00EF1143"/>
    <w:rsid w:val="00EF25FA"/>
    <w:rsid w:val="00EF6EB8"/>
    <w:rsid w:val="00F06397"/>
    <w:rsid w:val="00F068C8"/>
    <w:rsid w:val="00F10576"/>
    <w:rsid w:val="00F157EF"/>
    <w:rsid w:val="00F17B5F"/>
    <w:rsid w:val="00F202E5"/>
    <w:rsid w:val="00F33291"/>
    <w:rsid w:val="00F36977"/>
    <w:rsid w:val="00F37348"/>
    <w:rsid w:val="00F41BE2"/>
    <w:rsid w:val="00F4349B"/>
    <w:rsid w:val="00F469B0"/>
    <w:rsid w:val="00F517A9"/>
    <w:rsid w:val="00F55822"/>
    <w:rsid w:val="00F57FFA"/>
    <w:rsid w:val="00F608D7"/>
    <w:rsid w:val="00F61D73"/>
    <w:rsid w:val="00F61D94"/>
    <w:rsid w:val="00F66018"/>
    <w:rsid w:val="00F72A77"/>
    <w:rsid w:val="00F7443A"/>
    <w:rsid w:val="00F77FC1"/>
    <w:rsid w:val="00F8253D"/>
    <w:rsid w:val="00F835BD"/>
    <w:rsid w:val="00F84119"/>
    <w:rsid w:val="00F90F3F"/>
    <w:rsid w:val="00F93276"/>
    <w:rsid w:val="00F95783"/>
    <w:rsid w:val="00F9741E"/>
    <w:rsid w:val="00FA14B1"/>
    <w:rsid w:val="00FA15FA"/>
    <w:rsid w:val="00FA654B"/>
    <w:rsid w:val="00FA783D"/>
    <w:rsid w:val="00FB28FF"/>
    <w:rsid w:val="00FC25DF"/>
    <w:rsid w:val="00FC3548"/>
    <w:rsid w:val="00FD09BD"/>
    <w:rsid w:val="00FD736D"/>
    <w:rsid w:val="00FE345D"/>
    <w:rsid w:val="00FE3894"/>
    <w:rsid w:val="00FE4DE7"/>
    <w:rsid w:val="00FE6177"/>
    <w:rsid w:val="00FE6E24"/>
    <w:rsid w:val="00FF2947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2EA2"/>
  </w:style>
  <w:style w:type="paragraph" w:styleId="aa">
    <w:name w:val="footer"/>
    <w:basedOn w:val="a"/>
    <w:link w:val="ab"/>
    <w:uiPriority w:val="99"/>
    <w:unhideWhenUsed/>
    <w:rsid w:val="00E7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2EA2"/>
  </w:style>
  <w:style w:type="paragraph" w:styleId="aa">
    <w:name w:val="footer"/>
    <w:basedOn w:val="a"/>
    <w:link w:val="ab"/>
    <w:uiPriority w:val="99"/>
    <w:unhideWhenUsed/>
    <w:rsid w:val="00E7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F093-0857-4428-B370-DAD405CB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31</cp:revision>
  <cp:lastPrinted>2019-04-10T03:08:00Z</cp:lastPrinted>
  <dcterms:created xsi:type="dcterms:W3CDTF">2019-04-08T00:07:00Z</dcterms:created>
  <dcterms:modified xsi:type="dcterms:W3CDTF">2019-04-10T03:09:00Z</dcterms:modified>
</cp:coreProperties>
</file>