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0" w:rsidRDefault="00742323">
      <w:pPr>
        <w:pStyle w:val="2"/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46495" cy="44246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Памятка о легализации трудовых отношений и </w:t>
      </w:r>
      <w:hyperlink r:id="rId6">
        <w:r>
          <w:rPr>
            <w:rStyle w:val="-"/>
            <w:color w:val="000000"/>
            <w:u w:val="none"/>
          </w:rPr>
          <w:t>заработной платы</w:t>
        </w:r>
      </w:hyperlink>
    </w:p>
    <w:p w:rsidR="001274E0" w:rsidRDefault="001274E0">
      <w:pPr>
        <w:pStyle w:val="a5"/>
        <w:jc w:val="center"/>
        <w:rPr>
          <w:color w:val="000000"/>
        </w:rPr>
      </w:pPr>
    </w:p>
    <w:p w:rsidR="001274E0" w:rsidRDefault="00742323">
      <w:pPr>
        <w:pStyle w:val="a5"/>
        <w:jc w:val="both"/>
      </w:pPr>
      <w:proofErr w:type="gramStart"/>
      <w:r>
        <w:rPr>
          <w:color w:val="000000"/>
        </w:rPr>
        <w:t xml:space="preserve"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</w:t>
      </w:r>
      <w:hyperlink r:id="rId7">
        <w:r>
          <w:rPr>
            <w:rStyle w:val="-"/>
            <w:color w:val="000000"/>
          </w:rPr>
          <w:t>правовыми актами</w:t>
        </w:r>
      </w:hyperlink>
      <w:r>
        <w:rPr>
          <w:color w:val="000000"/>
        </w:rPr>
        <w:t xml:space="preserve">, содержащими нормы </w:t>
      </w:r>
      <w:hyperlink r:id="rId8">
        <w:r>
          <w:rPr>
            <w:rStyle w:val="-"/>
            <w:color w:val="000000"/>
          </w:rPr>
          <w:t>трудового права</w:t>
        </w:r>
      </w:hyperlink>
      <w:r>
        <w:rPr>
          <w:color w:val="000000"/>
        </w:rPr>
        <w:t xml:space="preserve">, </w:t>
      </w:r>
      <w:hyperlink r:id="rId9">
        <w:r>
          <w:rPr>
            <w:rStyle w:val="-"/>
            <w:color w:val="000000"/>
          </w:rPr>
          <w:t>коллективным договором</w:t>
        </w:r>
      </w:hyperlink>
      <w:r>
        <w:rPr>
          <w:color w:val="000000"/>
        </w:rPr>
        <w:t xml:space="preserve">, соглашениями, локальными </w:t>
      </w:r>
      <w:hyperlink r:id="rId10">
        <w:r>
          <w:rPr>
            <w:rStyle w:val="-"/>
            <w:color w:val="000000"/>
          </w:rPr>
          <w:t>нормативными актами</w:t>
        </w:r>
      </w:hyperlink>
      <w:r>
        <w:rPr>
          <w:color w:val="000000"/>
        </w:rPr>
        <w:t xml:space="preserve">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>
        <w:rPr>
          <w:color w:val="000000"/>
        </w:rPr>
        <w:t xml:space="preserve"> соглашением трудовую функцию, соблюдать правила внутреннего трудового распорядка, действующие у данного работодателя. Трудовой договор заключается в письменной форме, составляется в двух экземплярах, каждый из которых подписывается сторонами. Один экземпляр </w:t>
      </w:r>
      <w:hyperlink r:id="rId11">
        <w:r>
          <w:rPr>
            <w:rStyle w:val="-"/>
            <w:color w:val="000000"/>
          </w:rPr>
          <w:t>трудового договора</w:t>
        </w:r>
      </w:hyperlink>
      <w:r>
        <w:rPr>
          <w:color w:val="000000"/>
        </w:rPr>
        <w:t xml:space="preserve"> передается работнику, другой хранится у работодателя. Получение работником экземпляра </w:t>
      </w:r>
      <w:hyperlink r:id="rId12">
        <w:r>
          <w:rPr>
            <w:rStyle w:val="-"/>
            <w:color w:val="000000"/>
          </w:rPr>
          <w:t>трудового договора</w:t>
        </w:r>
      </w:hyperlink>
      <w:r>
        <w:rPr>
          <w:color w:val="000000"/>
        </w:rPr>
        <w:t xml:space="preserve"> должно подтверждаться подписью работника на экземпляре трудового договора, хранящемся у работодателя (ст. 56, 67 Трудового кодекса Российской Федерации).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Отсутствие трудового договора:</w:t>
      </w:r>
    </w:p>
    <w:p w:rsidR="001274E0" w:rsidRDefault="00742323">
      <w:pPr>
        <w:pStyle w:val="a5"/>
        <w:jc w:val="both"/>
        <w:rPr>
          <w:b/>
          <w:bCs/>
        </w:rPr>
      </w:pPr>
      <w:r>
        <w:rPr>
          <w:b/>
          <w:bCs/>
          <w:color w:val="000000"/>
        </w:rPr>
        <w:t xml:space="preserve">Лишает работника права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>: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трудовой стаж (страховой стаж) для расчета и назначения трудовой пенсии по старости;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рабочее место, соответствующее государственным нормативным требованиям охраны труда:</w:t>
      </w:r>
    </w:p>
    <w:p w:rsidR="001274E0" w:rsidRDefault="00742323">
      <w:pPr>
        <w:pStyle w:val="a5"/>
        <w:jc w:val="both"/>
      </w:pPr>
      <w:r>
        <w:rPr>
          <w:color w:val="000000"/>
        </w:rPr>
        <w:lastRenderedPageBreak/>
        <w:t xml:space="preserve">отдых, обеспечиваемый установлением нормальной продолжительности </w:t>
      </w:r>
      <w:hyperlink r:id="rId13">
        <w:r>
          <w:rPr>
            <w:rStyle w:val="-"/>
            <w:color w:val="000000"/>
          </w:rPr>
          <w:t>рабочего времени</w:t>
        </w:r>
      </w:hyperlink>
      <w:r>
        <w:rPr>
          <w:color w:val="000000"/>
        </w:rPr>
        <w:t>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обязательное социальное страхование в случаях, предусмотренных федеральными законами.</w:t>
      </w:r>
    </w:p>
    <w:p w:rsidR="001274E0" w:rsidRDefault="00742323">
      <w:pPr>
        <w:pStyle w:val="a5"/>
        <w:jc w:val="both"/>
      </w:pPr>
      <w:r>
        <w:rPr>
          <w:b/>
          <w:bCs/>
          <w:color w:val="000000"/>
        </w:rPr>
        <w:t xml:space="preserve">Для работодателя </w:t>
      </w:r>
      <w:r>
        <w:rPr>
          <w:color w:val="000000"/>
        </w:rPr>
        <w:t xml:space="preserve">– это нарушение трудового и налогового законодательства, которое влечет за собой административную, а в отдельных случаях и </w:t>
      </w:r>
      <w:hyperlink r:id="rId14">
        <w:r>
          <w:rPr>
            <w:rStyle w:val="-"/>
            <w:color w:val="000000"/>
          </w:rPr>
          <w:t>уголовную ответственность</w:t>
        </w:r>
      </w:hyperlink>
      <w:r>
        <w:rPr>
          <w:color w:val="000000"/>
        </w:rPr>
        <w:t>.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Выплата части заработной платы «в конверте» («серые схемы»):</w:t>
      </w:r>
    </w:p>
    <w:p w:rsidR="001274E0" w:rsidRDefault="00742323">
      <w:pPr>
        <w:pStyle w:val="a5"/>
        <w:jc w:val="both"/>
        <w:rPr>
          <w:b/>
          <w:bCs/>
        </w:rPr>
      </w:pPr>
      <w:r>
        <w:rPr>
          <w:b/>
          <w:bCs/>
          <w:color w:val="000000"/>
        </w:rPr>
        <w:t>Обращаем внимание работодателей, выплачивающих «серую» зарплату, что своими действиями Вы нарушаете: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а) трудовое законодательство, так как в трудовых договорах и приказах содержится заведомо ложная информация;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б) налоговое законодательство, так как, выплачивая «серую» заработную плату, Вы умышленно занижаете налоговую базу по налогу на доходы физических лиц, страховые </w:t>
      </w:r>
      <w:hyperlink r:id="rId15">
        <w:r>
          <w:rPr>
            <w:rStyle w:val="-"/>
            <w:color w:val="000000"/>
          </w:rPr>
          <w:t>взносы</w:t>
        </w:r>
      </w:hyperlink>
      <w:r>
        <w:rPr>
          <w:color w:val="000000"/>
        </w:rPr>
        <w:t xml:space="preserve"> во внебюджетные фонды.</w:t>
      </w:r>
    </w:p>
    <w:p w:rsidR="001274E0" w:rsidRDefault="00742323">
      <w:pPr>
        <w:pStyle w:val="a5"/>
        <w:jc w:val="both"/>
        <w:rPr>
          <w:b/>
          <w:bCs/>
        </w:rPr>
      </w:pPr>
      <w:r>
        <w:rPr>
          <w:b/>
          <w:bCs/>
          <w:color w:val="000000"/>
        </w:rPr>
        <w:t>Ответственность: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В соответствии с частью 1 статьи 5.27. Кодекса об </w:t>
      </w:r>
      <w:hyperlink r:id="rId16">
        <w:r>
          <w:rPr>
            <w:rStyle w:val="-"/>
            <w:color w:val="000000"/>
          </w:rPr>
          <w:t>административных правонарушениях</w:t>
        </w:r>
      </w:hyperlink>
      <w:r>
        <w:rPr>
          <w:color w:val="000000"/>
        </w:rPr>
        <w:t xml:space="preserve"> РФ нарушение трудового законодательства влечет предупреждение или наложение </w:t>
      </w:r>
      <w:hyperlink r:id="rId17">
        <w:r>
          <w:rPr>
            <w:rStyle w:val="-"/>
            <w:color w:val="000000"/>
          </w:rPr>
          <w:t>административного штрафа</w:t>
        </w:r>
      </w:hyperlink>
      <w:r>
        <w:rPr>
          <w:color w:val="000000"/>
        </w:rPr>
        <w:t>: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на должностных лиц в размере от одной тысячи до пяти тысяч рублей;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на лиц, осуществляющих </w:t>
      </w:r>
      <w:hyperlink r:id="rId18">
        <w:r>
          <w:rPr>
            <w:rStyle w:val="-"/>
            <w:color w:val="000000"/>
          </w:rPr>
          <w:t>предпринимательскую деятельность</w:t>
        </w:r>
      </w:hyperlink>
      <w:r>
        <w:rPr>
          <w:color w:val="000000"/>
        </w:rPr>
        <w:t xml:space="preserve"> без образования юридического лица, от одной тысячи до пяти тысяч рублей;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на юридических лиц от тридцати тысяч до пятидесяти тысяч рублей.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Совершение </w:t>
      </w:r>
      <w:hyperlink r:id="rId19">
        <w:r>
          <w:rPr>
            <w:rStyle w:val="-"/>
            <w:color w:val="000000"/>
          </w:rPr>
          <w:t>административного правонарушения</w:t>
        </w:r>
      </w:hyperlink>
      <w:r>
        <w:rPr>
          <w:color w:val="000000"/>
        </w:rPr>
        <w:t xml:space="preserve">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на лиц, осуществляющих </w:t>
      </w:r>
      <w:hyperlink r:id="rId20">
        <w:r>
          <w:rPr>
            <w:rStyle w:val="-"/>
            <w:color w:val="000000"/>
          </w:rPr>
          <w:t>предпринимательскую деятельность</w:t>
        </w:r>
      </w:hyperlink>
      <w:r>
        <w:rPr>
          <w:color w:val="000000"/>
        </w:rPr>
        <w:t xml:space="preserve"> без образования юридического лица, от десяти тысяч до двадцати тысяч рублей;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на юридических лиц от пятидесяти тысяч до семидесяти тысяч рублей.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Руководитель организации и </w:t>
      </w:r>
      <w:hyperlink r:id="rId21">
        <w:r>
          <w:rPr>
            <w:rStyle w:val="-"/>
            <w:color w:val="000000"/>
          </w:rPr>
          <w:t>главный бухгалтер</w:t>
        </w:r>
      </w:hyperlink>
      <w:r>
        <w:rPr>
          <w:color w:val="000000"/>
        </w:rPr>
        <w:t>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lastRenderedPageBreak/>
        <w:t>Уход от налогов «в крупном размере» (сумма налогов и (или) сборов за период в пределах трех финансовых лет подряд более двух миллионов рублей, при условии, что доля не 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в размере от ста тысяч до трехсот тысяч рублей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или в размере заработной платы или иного дохода осужденного за период от одного года до двух лет;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либо арестом на срок до шести месяцев;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Обращаем внимание работников, если Вы получаете «серую» зарплату, то Вы должны знать, что:</w:t>
      </w:r>
    </w:p>
    <w:p w:rsidR="001274E0" w:rsidRDefault="00742323">
      <w:pPr>
        <w:pStyle w:val="a5"/>
        <w:jc w:val="both"/>
        <w:rPr>
          <w:color w:val="000000"/>
        </w:rPr>
      </w:pPr>
      <w:proofErr w:type="gramStart"/>
      <w:r>
        <w:rPr>
          <w:color w:val="000000"/>
        </w:rPr>
        <w:t>а) вступая в сговор с работодателем о выплате части заработной платы «в конверте», Вы даете свое согласие на «уход» работодателя от уплаты налога на доходы физических лиц и страховых взносов во внебюджетные фонды в полном объеме, тем самым снижаете возможности финансирования из бюджетов всех уровней сфер образования, здравоохранения, иных социальных обязательств и проектов государства;</w:t>
      </w:r>
      <w:proofErr w:type="gramEnd"/>
    </w:p>
    <w:p w:rsidR="001274E0" w:rsidRDefault="00742323">
      <w:pPr>
        <w:pStyle w:val="a5"/>
        <w:jc w:val="both"/>
      </w:pPr>
      <w:r>
        <w:rPr>
          <w:color w:val="000000"/>
        </w:rPr>
        <w:t xml:space="preserve">б) Вы лишаетесь возможности: оплаты больничных листов, </w:t>
      </w:r>
      <w:hyperlink r:id="rId22">
        <w:r>
          <w:rPr>
            <w:rStyle w:val="-"/>
            <w:color w:val="000000"/>
          </w:rPr>
          <w:t>выходного пособия</w:t>
        </w:r>
      </w:hyperlink>
      <w:r>
        <w:rPr>
          <w:color w:val="000000"/>
        </w:rPr>
        <w:t xml:space="preserve"> при увольнении по сокращению штата, сохраняемого среднего заработка, пособия по </w:t>
      </w:r>
      <w:hyperlink r:id="rId23">
        <w:r>
          <w:rPr>
            <w:rStyle w:val="-"/>
            <w:color w:val="000000"/>
          </w:rPr>
          <w:t>безработице</w:t>
        </w:r>
      </w:hyperlink>
      <w:r>
        <w:rPr>
          <w:color w:val="000000"/>
        </w:rPr>
        <w:t>, исчисленных исходя из фактического уровня Вашей заработной платы;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в) размер социального или имущественного </w:t>
      </w:r>
      <w:hyperlink r:id="rId24">
        <w:r>
          <w:rPr>
            <w:rStyle w:val="-"/>
            <w:color w:val="000000"/>
          </w:rPr>
          <w:t>налогового вычета</w:t>
        </w:r>
      </w:hyperlink>
      <w:r>
        <w:rPr>
          <w:color w:val="000000"/>
        </w:rPr>
        <w:t xml:space="preserve"> будет определяться исходя из размера заработной платы, отраженной в </w:t>
      </w:r>
      <w:hyperlink r:id="rId25">
        <w:r>
          <w:rPr>
            <w:rStyle w:val="-"/>
            <w:color w:val="000000"/>
          </w:rPr>
          <w:t>бухгалтерском учете</w:t>
        </w:r>
      </w:hyperlink>
      <w:r>
        <w:rPr>
          <w:color w:val="000000"/>
        </w:rPr>
        <w:t>, то есть заведомо заниженный;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г) Вы не сможете воспользоваться </w:t>
      </w:r>
      <w:hyperlink r:id="rId26">
        <w:r>
          <w:rPr>
            <w:rStyle w:val="-"/>
            <w:color w:val="000000"/>
          </w:rPr>
          <w:t>банковскими кредитами</w:t>
        </w:r>
      </w:hyperlink>
      <w:r>
        <w:rPr>
          <w:color w:val="000000"/>
        </w:rPr>
        <w:t>, в том числе на приобретение жилья;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д) Вы не сможете рассчитывать на обеспечение в старости в виде достойной пенсии;</w:t>
      </w:r>
    </w:p>
    <w:p w:rsidR="001274E0" w:rsidRDefault="00742323">
      <w:pPr>
        <w:pStyle w:val="a5"/>
        <w:jc w:val="both"/>
        <w:rPr>
          <w:color w:val="000000"/>
        </w:rPr>
      </w:pPr>
      <w:proofErr w:type="gramStart"/>
      <w:r>
        <w:rPr>
          <w:color w:val="000000"/>
        </w:rPr>
        <w:t>е) в случае предоставления Вам различного вида мер социальной поддержки и оказания Вам и Вашей семье социальной помощи (выплаты пособий и субсидий) на основании выданных Вам работодателями справок, содержащих заведомо недостоверные сведения о Ваших доходах, Ваши действия могут быть квалифицированы как мошенничество в соответствии с частью 1 статьи 159.2 Уголовного кодекса РФ.</w:t>
      </w:r>
      <w:proofErr w:type="gramEnd"/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>ВЫ ДОЛЖНЫ: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 xml:space="preserve"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</w:t>
      </w:r>
      <w:r>
        <w:rPr>
          <w:color w:val="000000"/>
        </w:rPr>
        <w:lastRenderedPageBreak/>
        <w:t>приёме на работу, погашении задолженности по налогам и страховым взносам в государственные внебюджетные фонды.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b/>
          <w:bCs/>
          <w:color w:val="000000"/>
        </w:rPr>
        <w:t>ЕСЛИ РАБОТОДАТЕЛЬ НЕ РЕАГИРУЕТ НА ВАШИ ТРЕБОВАНИЯ,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b/>
          <w:bCs/>
          <w:color w:val="000000"/>
        </w:rPr>
        <w:t>ВЫ МОЖЕТЕ ОБРАТИТЬСЯ: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в Государственную </w:t>
      </w:r>
      <w:hyperlink r:id="rId27">
        <w:r>
          <w:rPr>
            <w:rStyle w:val="-"/>
            <w:color w:val="000000"/>
          </w:rPr>
          <w:t>инспекцию труда</w:t>
        </w:r>
      </w:hyperlink>
      <w:r>
        <w:rPr>
          <w:color w:val="000000"/>
        </w:rPr>
        <w:t xml:space="preserve"> в Красноярском крае, телефон «горячей линии» </w:t>
      </w:r>
      <w:r>
        <w:rPr>
          <w:b/>
          <w:bCs/>
          <w:color w:val="000000"/>
        </w:rPr>
        <w:t>8(391) 22-88-681;</w:t>
      </w:r>
    </w:p>
    <w:p w:rsidR="001274E0" w:rsidRDefault="00742323">
      <w:pPr>
        <w:pStyle w:val="a5"/>
        <w:jc w:val="both"/>
        <w:rPr>
          <w:color w:val="000000"/>
        </w:rPr>
      </w:pPr>
      <w:r>
        <w:rPr>
          <w:color w:val="000000"/>
        </w:rPr>
        <w:t xml:space="preserve">в прокуратуру по месту нахождения работодателя (адрес: </w:t>
      </w:r>
      <w:proofErr w:type="spellStart"/>
      <w:r w:rsidR="00F21AB5">
        <w:rPr>
          <w:color w:val="000000"/>
        </w:rPr>
        <w:t>с</w:t>
      </w:r>
      <w:proofErr w:type="gramStart"/>
      <w:r w:rsidR="00F21AB5">
        <w:rPr>
          <w:color w:val="000000"/>
        </w:rPr>
        <w:t>.К</w:t>
      </w:r>
      <w:proofErr w:type="gramEnd"/>
      <w:r w:rsidR="00F21AB5">
        <w:rPr>
          <w:color w:val="000000"/>
        </w:rPr>
        <w:t>аратузское</w:t>
      </w:r>
      <w:proofErr w:type="spellEnd"/>
      <w:r>
        <w:rPr>
          <w:color w:val="000000"/>
        </w:rPr>
        <w:t xml:space="preserve">, ул. </w:t>
      </w:r>
      <w:r w:rsidR="00F21AB5">
        <w:rPr>
          <w:color w:val="000000"/>
        </w:rPr>
        <w:t>Советская, 55</w:t>
      </w:r>
      <w:r>
        <w:rPr>
          <w:color w:val="000000"/>
        </w:rPr>
        <w:t>,</w:t>
      </w:r>
      <w:r>
        <w:rPr>
          <w:color w:val="000000"/>
        </w:rPr>
        <w:br/>
        <w:t xml:space="preserve"> телефон </w:t>
      </w:r>
      <w:r>
        <w:rPr>
          <w:b/>
          <w:bCs/>
          <w:color w:val="000000"/>
        </w:rPr>
        <w:t>8 (391</w:t>
      </w:r>
      <w:r w:rsidR="00F21AB5">
        <w:rPr>
          <w:b/>
          <w:bCs/>
          <w:color w:val="000000"/>
        </w:rPr>
        <w:t>37</w:t>
      </w:r>
      <w:r>
        <w:rPr>
          <w:b/>
          <w:bCs/>
          <w:color w:val="000000"/>
        </w:rPr>
        <w:t>) 2-1</w:t>
      </w:r>
      <w:r w:rsidR="00F21AB5">
        <w:rPr>
          <w:b/>
          <w:bCs/>
          <w:color w:val="000000"/>
        </w:rPr>
        <w:t>6</w:t>
      </w:r>
      <w:r>
        <w:rPr>
          <w:b/>
          <w:bCs/>
          <w:color w:val="000000"/>
        </w:rPr>
        <w:t>-</w:t>
      </w:r>
      <w:r w:rsidR="00F21AB5">
        <w:rPr>
          <w:b/>
          <w:bCs/>
          <w:color w:val="000000"/>
        </w:rPr>
        <w:t>44,2-18-58</w:t>
      </w:r>
      <w:bookmarkStart w:id="0" w:name="_GoBack"/>
      <w:bookmarkEnd w:id="0"/>
      <w:r>
        <w:rPr>
          <w:color w:val="000000"/>
        </w:rPr>
        <w:t>;</w:t>
      </w:r>
    </w:p>
    <w:p w:rsidR="001274E0" w:rsidRDefault="00742323">
      <w:pPr>
        <w:pStyle w:val="a5"/>
        <w:jc w:val="both"/>
      </w:pPr>
      <w:r>
        <w:rPr>
          <w:color w:val="000000"/>
        </w:rPr>
        <w:t xml:space="preserve">в суд за </w:t>
      </w:r>
      <w:hyperlink r:id="rId28">
        <w:r>
          <w:rPr>
            <w:rStyle w:val="-"/>
            <w:color w:val="000000"/>
          </w:rPr>
          <w:t>взысканием</w:t>
        </w:r>
      </w:hyperlink>
      <w:r>
        <w:rPr>
          <w:color w:val="000000"/>
        </w:rPr>
        <w:t xml:space="preserve"> причитающихся сумм в порядке индивидуального трудового спора.</w:t>
      </w:r>
    </w:p>
    <w:p w:rsidR="001274E0" w:rsidRDefault="0074232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 настоящее время </w:t>
      </w:r>
      <w:r>
        <w:rPr>
          <w:b/>
          <w:color w:val="000000"/>
        </w:rPr>
        <w:t>легализация</w:t>
      </w:r>
      <w:r>
        <w:rPr>
          <w:color w:val="000000"/>
        </w:rPr>
        <w:t xml:space="preserve"> теневой занятости и скрытых форм </w:t>
      </w:r>
      <w:r>
        <w:rPr>
          <w:b/>
          <w:color w:val="000000"/>
        </w:rPr>
        <w:t>оплаты</w:t>
      </w:r>
      <w:r>
        <w:rPr>
          <w:color w:val="000000"/>
        </w:rPr>
        <w:t xml:space="preserve"> </w:t>
      </w:r>
      <w:r>
        <w:rPr>
          <w:b/>
          <w:color w:val="000000"/>
        </w:rPr>
        <w:t>труда</w:t>
      </w:r>
      <w:r>
        <w:rPr>
          <w:color w:val="000000"/>
        </w:rPr>
        <w:t xml:space="preserve">, повышение уровня </w:t>
      </w:r>
      <w:r>
        <w:rPr>
          <w:b/>
          <w:color w:val="000000"/>
        </w:rPr>
        <w:t>заработной</w:t>
      </w:r>
      <w:r>
        <w:rPr>
          <w:color w:val="000000"/>
        </w:rPr>
        <w:t xml:space="preserve"> </w:t>
      </w:r>
      <w:r>
        <w:rPr>
          <w:b/>
          <w:color w:val="000000"/>
        </w:rPr>
        <w:t>платы</w:t>
      </w:r>
      <w:r>
        <w:rPr>
          <w:color w:val="000000"/>
        </w:rPr>
        <w:t xml:space="preserve"> и создание условий для своевременной ее выплаты остается одной из основных задач в сфере социально-трудовых отношений. Проблема «теневой» </w:t>
      </w:r>
      <w:r>
        <w:rPr>
          <w:b/>
          <w:color w:val="000000"/>
        </w:rPr>
        <w:t>заработной</w:t>
      </w:r>
      <w:r>
        <w:rPr>
          <w:color w:val="000000"/>
        </w:rPr>
        <w:t xml:space="preserve"> </w:t>
      </w:r>
      <w:r>
        <w:rPr>
          <w:b/>
          <w:color w:val="000000"/>
        </w:rPr>
        <w:t>платы</w:t>
      </w:r>
      <w:r>
        <w:rPr>
          <w:color w:val="000000"/>
        </w:rPr>
        <w:t xml:space="preserve"> — одна из актуальных и острых по всей стране. Под теневой </w:t>
      </w:r>
      <w:r>
        <w:rPr>
          <w:b/>
          <w:color w:val="000000"/>
        </w:rPr>
        <w:t>заработной</w:t>
      </w:r>
      <w:r>
        <w:rPr>
          <w:color w:val="000000"/>
        </w:rPr>
        <w:t xml:space="preserve"> </w:t>
      </w:r>
      <w:r>
        <w:rPr>
          <w:b/>
          <w:color w:val="000000"/>
        </w:rPr>
        <w:t>платой</w:t>
      </w:r>
      <w:r>
        <w:rPr>
          <w:color w:val="000000"/>
        </w:rPr>
        <w:t xml:space="preserve"> подразумевается выплата работникам, не учитываемая при налогообложении, — это </w:t>
      </w:r>
      <w:r>
        <w:rPr>
          <w:b/>
          <w:color w:val="000000"/>
        </w:rPr>
        <w:t>заработная</w:t>
      </w:r>
      <w:r>
        <w:rPr>
          <w:color w:val="000000"/>
        </w:rPr>
        <w:t xml:space="preserve"> </w:t>
      </w:r>
      <w:r>
        <w:rPr>
          <w:b/>
          <w:color w:val="000000"/>
        </w:rPr>
        <w:t>плата</w:t>
      </w:r>
      <w:r>
        <w:rPr>
          <w:color w:val="000000"/>
        </w:rPr>
        <w:t>, выдаваемая в «конвертах» или промышленными и продовольственными товарами.</w:t>
      </w:r>
    </w:p>
    <w:p w:rsidR="001274E0" w:rsidRDefault="001274E0">
      <w:pPr>
        <w:jc w:val="both"/>
      </w:pPr>
    </w:p>
    <w:p w:rsidR="001274E0" w:rsidRDefault="001274E0"/>
    <w:p w:rsidR="001274E0" w:rsidRDefault="001274E0">
      <w:pPr>
        <w:pStyle w:val="3"/>
      </w:pPr>
    </w:p>
    <w:sectPr w:rsidR="001274E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0"/>
    <w:rsid w:val="001274E0"/>
    <w:rsid w:val="00742323"/>
    <w:rsid w:val="00F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basedOn w:val="a1"/>
    <w:rPr>
      <w:color w:val="8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color w:val="000000"/>
      <w:u w:val="none"/>
    </w:rPr>
  </w:style>
  <w:style w:type="character" w:customStyle="1" w:styleId="ListLabel4">
    <w:name w:val="ListLabel 4"/>
    <w:qFormat/>
    <w:rPr>
      <w:rFonts w:ascii="Liberation Serif" w:hAnsi="Liberation Serif"/>
      <w:color w:val="000000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basedOn w:val="a1"/>
    <w:rPr>
      <w:color w:val="8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color w:val="000000"/>
      <w:u w:val="none"/>
    </w:rPr>
  </w:style>
  <w:style w:type="character" w:customStyle="1" w:styleId="ListLabel4">
    <w:name w:val="ListLabel 4"/>
    <w:qFormat/>
    <w:rPr>
      <w:rFonts w:ascii="Liberation Serif" w:hAnsi="Liberation Serif"/>
      <w:color w:val="000000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udovoe_pravo/" TargetMode="External"/><Relationship Id="rId13" Type="http://schemas.openxmlformats.org/officeDocument/2006/relationships/hyperlink" Target="http://pandia.ru/text/category/vremya_rabochee/" TargetMode="External"/><Relationship Id="rId18" Type="http://schemas.openxmlformats.org/officeDocument/2006/relationships/hyperlink" Target="http://www.pandia.ru/text/category/predprinimatelmzskaya_deyatelmznostmz/" TargetMode="External"/><Relationship Id="rId26" Type="http://schemas.openxmlformats.org/officeDocument/2006/relationships/hyperlink" Target="http://pandia.ru/text/category/bankovskie_kredi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lavnij_buhgalter/" TargetMode="Externa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dogovor_trudovoj/" TargetMode="External"/><Relationship Id="rId17" Type="http://schemas.openxmlformats.org/officeDocument/2006/relationships/hyperlink" Target="http://pandia.ru/text/category/administrativnij_shtraf/" TargetMode="External"/><Relationship Id="rId25" Type="http://schemas.openxmlformats.org/officeDocument/2006/relationships/hyperlink" Target="http://www.pandia.ru/text/category/buhgalterskij_uch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administrativnoe_pravo/" TargetMode="External"/><Relationship Id="rId20" Type="http://schemas.openxmlformats.org/officeDocument/2006/relationships/hyperlink" Target="http://pandia.ru/text/category/deyatelmznostmz_predprinimatelmzskay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rabotnaya_plata/" TargetMode="External"/><Relationship Id="rId11" Type="http://schemas.openxmlformats.org/officeDocument/2006/relationships/hyperlink" Target="http://www.pandia.ru/text/category/trudovie_dogovora/" TargetMode="External"/><Relationship Id="rId24" Type="http://schemas.openxmlformats.org/officeDocument/2006/relationships/hyperlink" Target="http://pandia.ru/text/category/nalogovie_vichet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andia.ru/text/category/vznos/" TargetMode="External"/><Relationship Id="rId23" Type="http://schemas.openxmlformats.org/officeDocument/2006/relationships/hyperlink" Target="http://www.pandia.ru/text/category/bezrabotitca/" TargetMode="External"/><Relationship Id="rId28" Type="http://schemas.openxmlformats.org/officeDocument/2006/relationships/hyperlink" Target="http://www.pandia.ru/text/category/vziskanie/" TargetMode="External"/><Relationship Id="rId10" Type="http://schemas.openxmlformats.org/officeDocument/2006/relationships/hyperlink" Target="http://pandia.ru/text/category/akt_normativnij/" TargetMode="External"/><Relationship Id="rId19" Type="http://schemas.openxmlformats.org/officeDocument/2006/relationships/hyperlink" Target="http://pandia.ru/text/category/administrativnie_pravonarus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kollektivnie_dogovora/" TargetMode="External"/><Relationship Id="rId14" Type="http://schemas.openxmlformats.org/officeDocument/2006/relationships/hyperlink" Target="http://pandia.ru/text/category/ugolovnaya_otvetstvennostmz/" TargetMode="External"/><Relationship Id="rId22" Type="http://schemas.openxmlformats.org/officeDocument/2006/relationships/hyperlink" Target="http://pandia.ru/text/category/vihodnoe_posobie/" TargetMode="External"/><Relationship Id="rId27" Type="http://schemas.openxmlformats.org/officeDocument/2006/relationships/hyperlink" Target="http://www.pandia.ru/text/category/inspektcii_trud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Галина Васильевна</dc:creator>
  <cp:lastModifiedBy>Дэка Галина Васильевна</cp:lastModifiedBy>
  <cp:revision>4</cp:revision>
  <dcterms:created xsi:type="dcterms:W3CDTF">2020-03-18T08:31:00Z</dcterms:created>
  <dcterms:modified xsi:type="dcterms:W3CDTF">2020-03-18T08:54:00Z</dcterms:modified>
  <dc:language>ru-RU</dc:language>
</cp:coreProperties>
</file>