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73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055B73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055B7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6F2AE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10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6F2AE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17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6F2AEC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055B73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F2AEC" w:rsidRPr="006F2AEC" w:rsidRDefault="006F2AEC" w:rsidP="006F2AE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2AEC" w:rsidRPr="006F2AEC" w:rsidRDefault="006F2AEC" w:rsidP="006F2AE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17.03.2022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  225-п</w:t>
      </w:r>
    </w:p>
    <w:p w:rsidR="006F2AEC" w:rsidRPr="006F2AEC" w:rsidRDefault="006F2AEC" w:rsidP="006F2AE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О признании утратившим силу постановления администрации Каратузского района от 06.04.2020 года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В соответствии с Федеральным законом от 21.12.1994 68-ФЗ «О защите населения и территорий от чрезвычайных ситуаций природного и техногенного характера», Федеральным законом от 30.03.1999 52-ФЗ «О санитарно-эпидемиологическом благополучии населения», указом Губернатора Красноярского края от 15.03.2022 года № 61-уг 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указом Губернатора Красноярского края от 15.03.2022 года № 62-уг О признании утратившим силу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постановления Правительства Красноярского края от 16.03.2022 года № 187-п о признании утратившим силу постановления Правительства Красноярского края от 01.04.2020 года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 – </w:t>
      </w: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nCoV</w:t>
      </w: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) на территории Красноярского края», руководствуясь ст.22, 25 Устава муниципального образования «Каратузский район», ПОСТАНОВЛЯЮ: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1.Признать утратившим силу:</w:t>
      </w: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06.04.2020 года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района»;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20.04.2020                                     года № 345-п О внесении изменений в постановление администрации Каратузского района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района»;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22.04.2020                                     года № 359-п О внесении изменений в постановление администрации Каратузского района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района»;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12.05.2020                                     года № 402-п О внесении изменения в постановление  администрации Каратузского района 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района»;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19.05.2020                                     года № 439-п О внесении изменений в постановление администрации Каратузского района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района»;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постановление администрации Каратузского района от 19 .07.2021                                  года № 578-п О внесении изменения в постановление  администрации Каратузского района  от 06.04.2020 № 294-п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Каратузского района».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настоящее постановление на «Официальном сайте администрации Каратузского района (</w:t>
      </w:r>
      <w:hyperlink r:id="rId10" w:history="1">
        <w:r w:rsidRPr="006F2AE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w</w:t>
        </w:r>
        <w:r w:rsidRPr="006F2AE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</w:t>
        </w:r>
        <w:r w:rsidRPr="006F2AE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F2AE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r w:rsidRPr="006F2AE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6F2AEC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3. Контроль за исполнением настоящего постановления оставляю за собой.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F2AEC">
        <w:rPr>
          <w:rFonts w:ascii="Times New Roman" w:hAnsi="Times New Roman" w:cs="Times New Roman"/>
          <w:color w:val="auto"/>
          <w:kern w:val="0"/>
          <w:sz w:val="12"/>
          <w:szCs w:val="12"/>
        </w:rPr>
        <w:t>И.о. главы района                                                                                   А.А. Савин</w:t>
      </w:r>
    </w:p>
    <w:p w:rsidR="005036A8" w:rsidRDefault="00055B73" w:rsidP="006F2AE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6F2AEC" w:rsidRDefault="006F2AEC" w:rsidP="006F2AE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Default="006F2AEC" w:rsidP="006F2AE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3190"/>
        <w:gridCol w:w="3755"/>
      </w:tblGrid>
      <w:tr w:rsidR="006F2AEC" w:rsidRPr="006F2AEC" w:rsidTr="006F2AEC">
        <w:tc>
          <w:tcPr>
            <w:tcW w:w="4042" w:type="dxa"/>
          </w:tcPr>
          <w:p w:rsidR="006F2AEC" w:rsidRPr="006F2AEC" w:rsidRDefault="006F2AEC" w:rsidP="006F2AE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17.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3.2022</w:t>
            </w:r>
          </w:p>
        </w:tc>
        <w:tc>
          <w:tcPr>
            <w:tcW w:w="3190" w:type="dxa"/>
          </w:tcPr>
          <w:p w:rsidR="006F2AEC" w:rsidRPr="006F2AEC" w:rsidRDefault="006F2AEC" w:rsidP="006F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755" w:type="dxa"/>
          </w:tcPr>
          <w:p w:rsidR="006F2AEC" w:rsidRPr="006F2AEC" w:rsidRDefault="006F2AEC" w:rsidP="006F2A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230-п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03.02.2022 г. № 105-п) следующие изменения:</w:t>
      </w:r>
    </w:p>
    <w:p w:rsidR="006F2AEC" w:rsidRPr="006F2AEC" w:rsidRDefault="006F2AEC" w:rsidP="006F2AE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6F2AEC" w:rsidRPr="006F2AEC" w:rsidTr="00C335F6">
        <w:tc>
          <w:tcPr>
            <w:tcW w:w="3403" w:type="dxa"/>
          </w:tcPr>
          <w:p w:rsidR="006F2AEC" w:rsidRPr="006F2AEC" w:rsidRDefault="006F2AEC" w:rsidP="006F2AE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       районный бюджет – 219 478,86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578 235,52 тыс.рублей,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33 115,39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323 427,91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221 692,22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534 508,73 тыс.рублей,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34 034,68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308 735,61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191 738,44 тыс.рублей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501 404,34 тыс.рублей,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7 486,15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305 179,75 тыс.рублей;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188 738,44 тыс.рублей</w:t>
            </w:r>
          </w:p>
          <w:p w:rsidR="006F2AEC" w:rsidRPr="006F2AEC" w:rsidRDefault="006F2AEC" w:rsidP="006F2A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6F2AE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F2AEC" w:rsidRPr="006F2AEC" w:rsidTr="00C335F6">
        <w:tc>
          <w:tcPr>
            <w:tcW w:w="3685" w:type="dxa"/>
          </w:tcPr>
          <w:p w:rsidR="006F2AEC" w:rsidRPr="006F2AEC" w:rsidRDefault="006F2AEC" w:rsidP="006F2AE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1 525 383,54 тыс. рублей, 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538 620,63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507 172,54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479 790,37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555 363,95 тыс. руб.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203 792,63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175 973,65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175 597,67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895 383,37 тыс. руб.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 – 301 712,61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297 164,21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296 506,55 тыс. рублей,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74</w:t>
            </w: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636,22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33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115.39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34 034,68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7 486,15 тыс. рублей.</w:t>
            </w:r>
          </w:p>
        </w:tc>
      </w:tr>
    </w:tbl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6F2AEC" w:rsidRPr="006F2AEC" w:rsidRDefault="006F2AEC" w:rsidP="006F2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6F2AEC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6F2AEC" w:rsidRPr="006F2AEC" w:rsidTr="00C335F6">
        <w:tc>
          <w:tcPr>
            <w:tcW w:w="3685" w:type="dxa"/>
          </w:tcPr>
          <w:p w:rsidR="006F2AEC" w:rsidRPr="006F2AEC" w:rsidRDefault="006F2AEC" w:rsidP="006F2AE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26 342,84 тыс. рублей, в том числе: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11 078,82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8 944,02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6 320,00 тыс.рублей;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17 882,84 тыс. руб.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8 258,82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6 124,02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3 500,00 тыс.рублей.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8 460,00 тыс. руб.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2 820,00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2 820,00 тыс. рублей;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2 820,00 тыс.рублей,</w:t>
            </w:r>
          </w:p>
        </w:tc>
      </w:tr>
    </w:tbl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1.6.Приложение №9 к муниципальной программе "Развитие системы образования Каратузского района" изложить в следующей редакции согласно приложению № 3 к настоящему постановлению.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№10 к муниципальной программе "Развитие системы образования Каратузского района" изложить в следующей редакции согласно приложению № 4 к настоящему постановлению.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распоряжения возложить на А.А.Савина, заместителя главы района по социальным и общественно-политическим вопросам.</w:t>
      </w:r>
    </w:p>
    <w:p w:rsidR="006F2AEC" w:rsidRPr="006F2AEC" w:rsidRDefault="006F2AEC" w:rsidP="006F2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6F2AEC" w:rsidRPr="006F2AEC" w:rsidRDefault="006F2AEC" w:rsidP="006F2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А.А. Савин</w:t>
      </w:r>
    </w:p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11307" w:type="dxa"/>
        <w:tblLook w:val="04A0" w:firstRow="1" w:lastRow="0" w:firstColumn="1" w:lastColumn="0" w:noHBand="0" w:noVBand="1"/>
      </w:tblPr>
      <w:tblGrid>
        <w:gridCol w:w="521"/>
        <w:gridCol w:w="2281"/>
        <w:gridCol w:w="1035"/>
        <w:gridCol w:w="502"/>
        <w:gridCol w:w="477"/>
        <w:gridCol w:w="830"/>
        <w:gridCol w:w="452"/>
        <w:gridCol w:w="855"/>
        <w:gridCol w:w="846"/>
        <w:gridCol w:w="826"/>
        <w:gridCol w:w="855"/>
        <w:gridCol w:w="1827"/>
      </w:tblGrid>
      <w:tr w:rsidR="006F2AEC" w:rsidRPr="006F2AEC" w:rsidTr="006F2AEC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0" w:name="RANGE!A1:L66"/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0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18.03.2022 № 230-п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F2AEC" w:rsidRPr="006F2AEC" w:rsidTr="006F2AEC">
        <w:trPr>
          <w:trHeight w:val="138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38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6F2AEC" w:rsidRPr="006F2AEC" w:rsidTr="006F2AEC">
        <w:trPr>
          <w:trHeight w:val="138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1" w:type="dxa"/>
            <w:gridSpan w:val="4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82" w:type="dxa"/>
            <w:gridSpan w:val="4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2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4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2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4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2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5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7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4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F2AEC" w:rsidRPr="006F2AEC" w:rsidTr="006F2AEC">
        <w:trPr>
          <w:trHeight w:val="20"/>
        </w:trPr>
        <w:tc>
          <w:tcPr>
            <w:tcW w:w="11307" w:type="dxa"/>
            <w:gridSpan w:val="12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F2AEC" w:rsidRPr="006F2AEC" w:rsidTr="006F2AEC">
        <w:trPr>
          <w:trHeight w:val="20"/>
        </w:trPr>
        <w:tc>
          <w:tcPr>
            <w:tcW w:w="11307" w:type="dxa"/>
            <w:gridSpan w:val="12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03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39342,10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33917,97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33541,99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106802,06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  - в 2022-24гг.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48,33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95,93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4294,90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12514,90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153,30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7662,00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1022,40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2022-24гг. -  15 детей.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021075540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93720,42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13123,80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316,08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23695,20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69719,40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2666,30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7838,90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11307" w:type="dxa"/>
            <w:gridSpan w:val="12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3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112749,20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93364,71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93426,61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299540,52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64,05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88,01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34295,40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171688,41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171688,41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171688,41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515065,23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13937,07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41586,00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29748,00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85675,00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9021,90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8568,20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8870,60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26460,70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42887,80000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11307" w:type="dxa"/>
            <w:gridSpan w:val="12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стабильного функционирования и развития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Управление образования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18335,78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16775,79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15932,79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51044,36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Обеспечение прав детей на получение дополнительного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образования независимо от места проживания  1195 детей в 2022-2024гг.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27,00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9310,80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26858,20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12496,62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37068,82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5398,11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6131,43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6911,40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18440,94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0210010490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0210010490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0210010490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372,62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11307" w:type="dxa"/>
            <w:gridSpan w:val="12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3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5606,00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4026,99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10901,99</w:t>
            </w:r>
          </w:p>
        </w:tc>
        <w:tc>
          <w:tcPr>
            <w:tcW w:w="1827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2023 - 3 школы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28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0210015980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2400,00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24,25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24,25</w:t>
            </w:r>
          </w:p>
        </w:tc>
        <w:tc>
          <w:tcPr>
            <w:tcW w:w="1827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3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2023 - 3 школы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538620,63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507172,53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479590,37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1525383,53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526124,01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494886,43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467304,27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1488263,46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52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8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12496,62</w:t>
            </w:r>
          </w:p>
        </w:tc>
        <w:tc>
          <w:tcPr>
            <w:tcW w:w="84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55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37068,82</w:t>
            </w:r>
          </w:p>
        </w:tc>
        <w:tc>
          <w:tcPr>
            <w:tcW w:w="1827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6F2AEC" w:rsidRPr="006F2AEC" w:rsidRDefault="006F2AEC" w:rsidP="006F2AEC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30"/>
        <w:gridCol w:w="1669"/>
        <w:gridCol w:w="1197"/>
        <w:gridCol w:w="548"/>
        <w:gridCol w:w="548"/>
        <w:gridCol w:w="817"/>
        <w:gridCol w:w="548"/>
        <w:gridCol w:w="849"/>
        <w:gridCol w:w="739"/>
        <w:gridCol w:w="739"/>
        <w:gridCol w:w="886"/>
        <w:gridCol w:w="2303"/>
      </w:tblGrid>
      <w:tr w:rsidR="006F2AEC" w:rsidRPr="006F2AEC" w:rsidTr="006F2AEC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1" w:name="RANGE!A1:N42"/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1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№2 к Постановлению администрации Каратузского района 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18.03.2022 № 230-п</w:t>
            </w:r>
          </w:p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F2AEC" w:rsidRPr="006F2AEC" w:rsidTr="006F2AEC">
        <w:trPr>
          <w:trHeight w:val="138"/>
        </w:trPr>
        <w:tc>
          <w:tcPr>
            <w:tcW w:w="433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6F2AEC" w:rsidRPr="006F2AEC" w:rsidTr="006F2AEC">
        <w:trPr>
          <w:trHeight w:val="138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6" w:type="dxa"/>
            <w:gridSpan w:val="4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9" w:type="dxa"/>
            <w:gridSpan w:val="4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13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7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9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3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7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F2AEC" w:rsidRPr="006F2AEC" w:rsidTr="006F2AEC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6F2AEC" w:rsidRPr="006F2AEC" w:rsidTr="006F2AEC">
        <w:trPr>
          <w:trHeight w:val="20"/>
        </w:trPr>
        <w:tc>
          <w:tcPr>
            <w:tcW w:w="11165" w:type="dxa"/>
            <w:gridSpan w:val="12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598,14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2 464,37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20 образовательных учреждениях соответсвует требованиям пожарной безопасности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медицинских  кабинетов, приобретение оборудования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606,00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проведен ремонт медицинских кабинетов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теневого навеса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433,41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3 учреждениях оборудован теневой навес 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854,78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Устранены противопожарные нарушения в 1 ОУ 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СИЗ для защиты органов зрения и дыхания при пожаре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32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5 ОУ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осветительных приборов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44,20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приобретены сушильные шкафы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68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497,77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637,92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637,92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1 773,61</w:t>
            </w:r>
          </w:p>
        </w:tc>
        <w:tc>
          <w:tcPr>
            <w:tcW w:w="232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6 ОУ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114,00</w:t>
            </w: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68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208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543,20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1 990,34</w:t>
            </w:r>
          </w:p>
        </w:tc>
        <w:tc>
          <w:tcPr>
            <w:tcW w:w="232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проверки целостности проводников в 27 ОУ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органов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0240075630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8 460,00</w:t>
            </w:r>
          </w:p>
        </w:tc>
        <w:tc>
          <w:tcPr>
            <w:tcW w:w="232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28,48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28,20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28,20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84,88</w:t>
            </w:r>
          </w:p>
        </w:tc>
        <w:tc>
          <w:tcPr>
            <w:tcW w:w="232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5248,04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котла внутреннего горения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512,00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Текущий ремонт зданий ОУ 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1900,00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208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1500,00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спортивного зала МБОУ Моторская СОШ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685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20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0240002200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232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11078,82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24842,84</w:t>
            </w:r>
          </w:p>
        </w:tc>
        <w:tc>
          <w:tcPr>
            <w:tcW w:w="232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11078,82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24842,84</w:t>
            </w:r>
          </w:p>
        </w:tc>
        <w:tc>
          <w:tcPr>
            <w:tcW w:w="232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433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32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6F2AEC" w:rsidRPr="006F2AEC" w:rsidTr="006F2AE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578 235,52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534 508,73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501 404,34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1 614 148,59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25 742,72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53 621,12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552 492,80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519 120,43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488 914,24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1 560 527,47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538 620,63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507 172,54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479 590,37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1 525 383,54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12 496,62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37 068,82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526 124,01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494 886,44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467 304,27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1 488 314,72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15 619,47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15 619,47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562,20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2 237,64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11 078,82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26 342,84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11 078,82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26 342,84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21 561,60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41 498,80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13 058,70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15 990,10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25 508,70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trHeight w:val="20"/>
        </w:trPr>
        <w:tc>
          <w:tcPr>
            <w:tcW w:w="9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11316" w:type="dxa"/>
        <w:tblLook w:val="04A0" w:firstRow="1" w:lastRow="0" w:firstColumn="1" w:lastColumn="0" w:noHBand="0" w:noVBand="1"/>
      </w:tblPr>
      <w:tblGrid>
        <w:gridCol w:w="401"/>
        <w:gridCol w:w="1474"/>
        <w:gridCol w:w="3195"/>
        <w:gridCol w:w="2088"/>
        <w:gridCol w:w="1109"/>
        <w:gridCol w:w="1074"/>
        <w:gridCol w:w="1086"/>
        <w:gridCol w:w="871"/>
        <w:gridCol w:w="18"/>
      </w:tblGrid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4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F2AEC" w:rsidRPr="006F2AEC" w:rsidTr="006F2AEC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tcBorders>
              <w:top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nil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07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8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7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578 235,52</w:t>
            </w:r>
          </w:p>
        </w:tc>
        <w:tc>
          <w:tcPr>
            <w:tcW w:w="1074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534 508,73</w:t>
            </w:r>
          </w:p>
        </w:tc>
        <w:tc>
          <w:tcPr>
            <w:tcW w:w="1086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501 404,34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1 614 148,59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323 427,91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308 735,61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305 179,75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937 343,27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221 692,22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191 738,44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188 738,44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602 169,10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538 620,63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507 172,54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479 590,37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1 525 383,54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301 712,61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297 164,21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296 506,55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895 383,37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203 792,63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175 973,65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175 597,67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555 363,95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15 619,47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10 125,00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5 494,47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11 078,82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26 342,84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8 460,00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8 258,82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6 124,02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3 500,00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17 882,84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 w:type="page"/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21 561,60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41 498,80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15 520,30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5 376,40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2 478,20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23 374,90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18 123,90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195" w:type="dxa"/>
            <w:vMerge w:val="restart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088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6F2AEC" w:rsidRPr="006F2AEC" w:rsidTr="006F2AEC">
        <w:trPr>
          <w:gridAfter w:val="1"/>
          <w:wAfter w:w="18" w:type="dxa"/>
          <w:trHeight w:val="20"/>
        </w:trPr>
        <w:tc>
          <w:tcPr>
            <w:tcW w:w="401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95" w:type="dxa"/>
            <w:vMerge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88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871" w:type="dxa"/>
            <w:hideMark/>
          </w:tcPr>
          <w:p w:rsidR="006F2AEC" w:rsidRPr="006F2AEC" w:rsidRDefault="006F2AEC" w:rsidP="006F2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F2AEC" w:rsidRDefault="006F2AEC" w:rsidP="006F2AE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 РАЙОНА</w:t>
      </w: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F2AEC" w:rsidRPr="006F2AEC" w:rsidRDefault="006F2AEC" w:rsidP="006F2AE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15.03.2021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 216-п</w:t>
      </w:r>
    </w:p>
    <w:p w:rsidR="006F2AEC" w:rsidRPr="006F2AEC" w:rsidRDefault="006F2AEC" w:rsidP="006F2AEC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3465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состава районной комиссии по делам несовершеннолетних</w:t>
      </w:r>
    </w:p>
    <w:p w:rsidR="006F2AEC" w:rsidRPr="006F2AEC" w:rsidRDefault="006F2AEC" w:rsidP="006F2AEC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 защите их прав</w:t>
      </w:r>
    </w:p>
    <w:p w:rsidR="006F2AEC" w:rsidRPr="006F2AEC" w:rsidRDefault="006F2AEC" w:rsidP="006F2AEC">
      <w:pPr>
        <w:tabs>
          <w:tab w:val="left" w:pos="346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В соответствии с постановлением Правительства РФ от 06 ноября 2013 года  № 995 «Об утверждении Положения о комиссиях по делам несовершеннолетних и защите их прав», Федеральным законом от 24.06.1999 года № 120 - ФЗ «Об  основах системы профилактики безнадзорности и правонарушений несовершеннолетних», решением  Каратузского районного совета депутатов от 09 ноября 2021 г.  №08-71 « Об утверждении структуры администрации Каратузского района»: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 Утвердить состав районной комиссии по делам несовершеннолетних и защите их прав согласно приложению.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Признать утратившим силу постановление администрации Каратузского района  от 02.06.2021  № № 424-п «Об утверждении состава районной комиссии по делам несовершеннолетних и защите их прав».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Контроль за исполнением настоящего постановления возложить на А.А. Савина заместителя главы района по социальным</w:t>
      </w:r>
      <w:r w:rsidRPr="006F2AEC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 общественно-политическим вопросам.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А.А. Савин</w:t>
      </w:r>
    </w:p>
    <w:p w:rsidR="006F2AEC" w:rsidRPr="006F2AEC" w:rsidRDefault="006F2AEC" w:rsidP="006F2AEC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0"/>
          <w:tab w:val="left" w:pos="7065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6F2AEC" w:rsidRPr="006F2AEC" w:rsidTr="00C335F6">
        <w:tc>
          <w:tcPr>
            <w:tcW w:w="4388" w:type="dxa"/>
          </w:tcPr>
          <w:p w:rsidR="006F2AEC" w:rsidRPr="006F2AEC" w:rsidRDefault="006F2AEC" w:rsidP="006F2AEC">
            <w:pPr>
              <w:tabs>
                <w:tab w:val="left" w:pos="0"/>
                <w:tab w:val="left" w:pos="6521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</w:t>
            </w:r>
          </w:p>
        </w:tc>
        <w:tc>
          <w:tcPr>
            <w:tcW w:w="5183" w:type="dxa"/>
          </w:tcPr>
          <w:tbl>
            <w:tblPr>
              <w:tblStyle w:val="aff5"/>
              <w:tblW w:w="0" w:type="auto"/>
              <w:tblLook w:val="04A0" w:firstRow="1" w:lastRow="0" w:firstColumn="1" w:lastColumn="0" w:noHBand="0" w:noVBand="1"/>
            </w:tblPr>
            <w:tblGrid>
              <w:gridCol w:w="4952"/>
            </w:tblGrid>
            <w:tr w:rsidR="006F2AEC" w:rsidRPr="006F2AEC" w:rsidTr="00C335F6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2AEC" w:rsidRPr="006F2AEC" w:rsidRDefault="006F2AEC" w:rsidP="006F2AEC">
                  <w:pPr>
                    <w:tabs>
                      <w:tab w:val="left" w:pos="857"/>
                      <w:tab w:val="left" w:pos="6521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6F2AEC">
                    <w:rPr>
                      <w:rFonts w:ascii="Times New Roman" w:eastAsiaTheme="minorHAns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 xml:space="preserve">Приложение к постановлению администрации Каратузского района </w:t>
                  </w:r>
                </w:p>
                <w:p w:rsidR="006F2AEC" w:rsidRPr="006F2AEC" w:rsidRDefault="006F2AEC" w:rsidP="006F2AEC">
                  <w:pPr>
                    <w:tabs>
                      <w:tab w:val="left" w:pos="857"/>
                      <w:tab w:val="left" w:pos="6521"/>
                    </w:tabs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</w:pPr>
                  <w:r w:rsidRPr="006F2AEC">
                    <w:rPr>
                      <w:rFonts w:ascii="Times New Roman" w:eastAsiaTheme="minorHAnsi" w:hAnsi="Times New Roman" w:cs="Times New Roman"/>
                      <w:color w:val="auto"/>
                      <w:kern w:val="0"/>
                      <w:sz w:val="12"/>
                      <w:szCs w:val="12"/>
                      <w:lang w:eastAsia="en-US"/>
                    </w:rPr>
                    <w:t>от 15.03.2022 № 216-п</w:t>
                  </w:r>
                </w:p>
              </w:tc>
            </w:tr>
          </w:tbl>
          <w:p w:rsidR="006F2AEC" w:rsidRPr="006F2AEC" w:rsidRDefault="006F2AEC" w:rsidP="006F2AEC">
            <w:pPr>
              <w:tabs>
                <w:tab w:val="left" w:pos="857"/>
                <w:tab w:val="left" w:pos="6521"/>
              </w:tabs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6F2AEC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</w:p>
        </w:tc>
      </w:tr>
    </w:tbl>
    <w:p w:rsidR="006F2AEC" w:rsidRPr="006F2AEC" w:rsidRDefault="006F2AEC" w:rsidP="006F2AEC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Состав районной комиссии </w:t>
      </w:r>
    </w:p>
    <w:p w:rsidR="006F2AEC" w:rsidRPr="006F2AEC" w:rsidRDefault="006F2AEC" w:rsidP="006F2AEC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по делам несовершеннолетних и защите их прав</w:t>
      </w:r>
    </w:p>
    <w:p w:rsidR="006F2AEC" w:rsidRPr="006F2AEC" w:rsidRDefault="006F2AEC" w:rsidP="006F2AEC">
      <w:pPr>
        <w:tabs>
          <w:tab w:val="left" w:pos="0"/>
          <w:tab w:val="left" w:pos="3135"/>
        </w:tabs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А.А. Савин, заместитель главы района по социальным и общественно-политическим вопросам, председатель комиссии.</w:t>
      </w:r>
    </w:p>
    <w:p w:rsidR="006F2AEC" w:rsidRPr="006F2AEC" w:rsidRDefault="006F2AEC" w:rsidP="006F2AEC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М.В. Юркова, заместитель директора по воспитательной и реабилитационной работе МБУ «Комплексный Центр социального обслуживания населения», заместитель председателя комиссии (по согласованию).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А.В. Анисимова, ведущий специалист администрации Каратузского района, ответственный секретарь комиссии.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Члены комиссии: 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А.А. Бойков – заместитель начальника ОП </w:t>
      </w:r>
      <w:bookmarkStart w:id="2" w:name="_GoBack"/>
      <w:bookmarkEnd w:id="2"/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№ 2 МО МВД России « Курагинский»;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М.А. Фатюшина – заместитель председателя Каратузского районного Совета депутатов (по согласованию);</w:t>
      </w:r>
    </w:p>
    <w:p w:rsidR="006F2AEC" w:rsidRPr="006F2AEC" w:rsidRDefault="006F2AEC" w:rsidP="006F2AEC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Т.Г. Серегина, руководитель Управления образования Каратузского района, сопредседатель Российского движения школьников в Каратузском районе (РДШ – общероссийская общественно-государственная детско-юношеская организация);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А.А. Морева, главный</w:t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специалист  по опеке и попечительству  отдела социальной поддержки детства Управления образования администрации Каратузского района (по согласованию);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И.В. Тонких, педагог - психолог Каратузского филиала КГБПОУ      Минусинского сельскохозяйственного  колледжа (по согласованию);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С.В. Сокирин, инспектор филиала по Каратузскому    району ФКУ УИИ ГУФСИН России « Курагинский»</w:t>
      </w:r>
      <w:r w:rsidRPr="006F2AEC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6F2AEC" w:rsidRPr="006F2AEC" w:rsidRDefault="006F2AEC" w:rsidP="006F2AEC">
      <w:pPr>
        <w:tabs>
          <w:tab w:val="left" w:pos="0"/>
          <w:tab w:val="left" w:pos="709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Ю.А. Громова, старший инспектор по делам несовершеннолетних   ОП № 2 МО  МВД России  «Курагинский»</w:t>
      </w:r>
      <w:r w:rsidRPr="006F2AEC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6F2AEC" w:rsidRPr="006F2AEC" w:rsidRDefault="006F2AEC" w:rsidP="006F2AEC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И.Л.  Шункина, директор КГКУ «Центр занятости населения Каратузского района»</w:t>
      </w:r>
      <w:r w:rsidRPr="006F2AEC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6F2AEC" w:rsidRPr="006F2AEC" w:rsidRDefault="006F2AEC" w:rsidP="006F2AEC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А.А. Козин, начальник отдела  молодежной политики, физкультуры, спорта и туризма;</w:t>
      </w:r>
    </w:p>
    <w:p w:rsidR="006F2AEC" w:rsidRPr="006F2AEC" w:rsidRDefault="006F2AEC" w:rsidP="006F2AEC">
      <w:pPr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А.Ю. Оберман, директор МБУ Молодежный центр «Лидер», </w:t>
      </w:r>
    </w:p>
    <w:p w:rsidR="006F2AEC" w:rsidRPr="006F2AEC" w:rsidRDefault="006F2AEC" w:rsidP="006F2AEC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Т.А. Пинчук, главный врач КГБУЗ «Каратузская РБ»</w:t>
      </w:r>
      <w:r w:rsidRPr="006F2AEC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(по согласованию);</w:t>
      </w:r>
    </w:p>
    <w:p w:rsidR="006F2AEC" w:rsidRPr="006F2AEC" w:rsidRDefault="006F2AEC" w:rsidP="006F2AEC">
      <w:pPr>
        <w:tabs>
          <w:tab w:val="left" w:pos="1485"/>
        </w:tabs>
        <w:spacing w:after="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F2AEC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В.В. Иванов, начальник ОНД и ПР по Каратузскому району, подполковник внутренней службы (по согласованию).</w:t>
      </w:r>
    </w:p>
    <w:p w:rsidR="006F2AEC" w:rsidRPr="006F2AEC" w:rsidRDefault="006F2AEC" w:rsidP="006F2AEC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F2AEC" w:rsidRPr="006F2AEC" w:rsidRDefault="006F2AEC" w:rsidP="006F2AEC">
      <w:pPr>
        <w:tabs>
          <w:tab w:val="left" w:pos="0"/>
        </w:tabs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6F2AE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338.3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6F2AEC" w:rsidRPr="00893B63" w:rsidRDefault="006F2AEC" w:rsidP="006F2AE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6F2AEC" w:rsidRPr="00893B63" w:rsidRDefault="006F2AEC" w:rsidP="006F2AE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6F2AEC" w:rsidRPr="00893B63" w:rsidRDefault="006F2AEC" w:rsidP="006F2AE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6F2AEC" w:rsidRPr="00893B63" w:rsidRDefault="006F2AEC" w:rsidP="006F2AE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6F2AEC" w:rsidRPr="0001637A" w:rsidRDefault="006F2AEC" w:rsidP="006F2AE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C012B5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73" w:rsidRDefault="00055B73" w:rsidP="00D368D1">
      <w:pPr>
        <w:spacing w:after="0" w:line="240" w:lineRule="auto"/>
      </w:pPr>
      <w:r>
        <w:separator/>
      </w:r>
    </w:p>
  </w:endnote>
  <w:endnote w:type="continuationSeparator" w:id="0">
    <w:p w:rsidR="00055B73" w:rsidRDefault="00055B73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EC">
          <w:rPr>
            <w:noProof/>
          </w:rPr>
          <w:t>6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73" w:rsidRDefault="00055B73" w:rsidP="00D368D1">
      <w:pPr>
        <w:spacing w:after="0" w:line="240" w:lineRule="auto"/>
      </w:pPr>
      <w:r>
        <w:separator/>
      </w:r>
    </w:p>
  </w:footnote>
  <w:footnote w:type="continuationSeparator" w:id="0">
    <w:p w:rsidR="00055B73" w:rsidRDefault="00055B73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4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6"/>
      <w:gridCol w:w="2125"/>
    </w:tblGrid>
    <w:tr w:rsidR="0075296C" w:rsidRPr="00C012B5" w:rsidTr="006F2AEC">
      <w:tc>
        <w:tcPr>
          <w:tcW w:w="406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6F2AEC">
          <w:pPr>
            <w:pStyle w:val="a3"/>
            <w:ind w:left="-119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C012B5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="006F2AEC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0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C012B5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C012B5">
                <w:rPr>
                  <w:rFonts w:ascii="CyrillicOld" w:hAnsi="CyrillicOld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C012B5">
                <w:rPr>
                  <w:rFonts w:ascii="CyrillicOld" w:hAnsi="CyrillicOld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3-17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3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6F2AEC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17 марта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55B73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6F2AEC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01F8EB5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6F2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6F2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6F2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6F2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6F2AE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atuzra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35247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117F6-0E64-4626-A8B9-1CED236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12332</TotalTime>
  <Pages>7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2022-03-24T03:23:00Z</dcterms:modified>
</cp:coreProperties>
</file>