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51" w:rsidRPr="00186E91" w:rsidRDefault="00270122" w:rsidP="00085651">
      <w:pPr>
        <w:pStyle w:val="a3"/>
        <w:ind w:firstLine="567"/>
        <w:jc w:val="both"/>
        <w:rPr>
          <w:rFonts w:eastAsia="Calibri"/>
          <w:b/>
          <w:sz w:val="24"/>
          <w:szCs w:val="24"/>
        </w:rPr>
      </w:pPr>
      <w:r>
        <w:rPr>
          <w:rFonts w:eastAsia="Calibri"/>
          <w:b/>
          <w:sz w:val="24"/>
          <w:szCs w:val="24"/>
        </w:rPr>
        <w:t xml:space="preserve">Отчет по </w:t>
      </w:r>
      <w:r w:rsidR="00085651" w:rsidRPr="00186E91">
        <w:rPr>
          <w:rFonts w:eastAsia="Calibri"/>
          <w:b/>
          <w:sz w:val="24"/>
          <w:szCs w:val="24"/>
        </w:rPr>
        <w:t xml:space="preserve"> проверк</w:t>
      </w:r>
      <w:r>
        <w:rPr>
          <w:rFonts w:eastAsia="Calibri"/>
          <w:b/>
          <w:sz w:val="24"/>
          <w:szCs w:val="24"/>
        </w:rPr>
        <w:t>е</w:t>
      </w:r>
      <w:r w:rsidR="00085651" w:rsidRPr="00186E91">
        <w:rPr>
          <w:rFonts w:eastAsia="Calibri"/>
          <w:b/>
          <w:sz w:val="24"/>
          <w:szCs w:val="24"/>
        </w:rPr>
        <w:t xml:space="preserve"> целевого расходования бюджетных средств, выделенных на реализацию муниципальн</w:t>
      </w:r>
      <w:r>
        <w:rPr>
          <w:rFonts w:eastAsia="Calibri"/>
          <w:b/>
          <w:sz w:val="24"/>
          <w:szCs w:val="24"/>
        </w:rPr>
        <w:t>ых программ по з</w:t>
      </w:r>
      <w:r w:rsidR="00085651" w:rsidRPr="00186E91">
        <w:rPr>
          <w:rFonts w:eastAsia="Calibri"/>
          <w:b/>
          <w:sz w:val="24"/>
          <w:szCs w:val="24"/>
        </w:rPr>
        <w:t>ащит</w:t>
      </w:r>
      <w:r>
        <w:rPr>
          <w:rFonts w:eastAsia="Calibri"/>
          <w:b/>
          <w:sz w:val="24"/>
          <w:szCs w:val="24"/>
        </w:rPr>
        <w:t>е</w:t>
      </w:r>
      <w:r w:rsidR="00085651" w:rsidRPr="00186E91">
        <w:rPr>
          <w:rFonts w:eastAsia="Calibri"/>
          <w:b/>
          <w:sz w:val="24"/>
          <w:szCs w:val="24"/>
        </w:rPr>
        <w:t xml:space="preserve"> населения и территорий Каратузского района от чрезвычайных ситуаций природного и техногенного характера, законность размещения муниципальных заказов. </w:t>
      </w:r>
    </w:p>
    <w:p w:rsidR="00085651" w:rsidRPr="004A6CA3" w:rsidRDefault="00085651" w:rsidP="00085651">
      <w:pPr>
        <w:pStyle w:val="a3"/>
        <w:ind w:firstLine="567"/>
        <w:jc w:val="both"/>
        <w:rPr>
          <w:rFonts w:eastAsia="Calibri"/>
          <w:sz w:val="24"/>
          <w:szCs w:val="24"/>
        </w:rPr>
      </w:pPr>
    </w:p>
    <w:p w:rsidR="00085651" w:rsidRPr="004A6CA3" w:rsidRDefault="00085651" w:rsidP="00085651">
      <w:pPr>
        <w:pStyle w:val="a3"/>
        <w:ind w:firstLine="567"/>
        <w:jc w:val="both"/>
        <w:rPr>
          <w:sz w:val="24"/>
          <w:szCs w:val="24"/>
        </w:rPr>
      </w:pPr>
      <w:proofErr w:type="spellStart"/>
      <w:r w:rsidRPr="004A6CA3">
        <w:rPr>
          <w:sz w:val="24"/>
          <w:szCs w:val="24"/>
        </w:rPr>
        <w:t>с</w:t>
      </w:r>
      <w:proofErr w:type="gramStart"/>
      <w:r w:rsidRPr="004A6CA3">
        <w:rPr>
          <w:sz w:val="24"/>
          <w:szCs w:val="24"/>
        </w:rPr>
        <w:t>.К</w:t>
      </w:r>
      <w:proofErr w:type="gramEnd"/>
      <w:r w:rsidRPr="004A6CA3">
        <w:rPr>
          <w:sz w:val="24"/>
          <w:szCs w:val="24"/>
        </w:rPr>
        <w:t>аратузское</w:t>
      </w:r>
      <w:proofErr w:type="spellEnd"/>
      <w:r w:rsidRPr="004A6CA3">
        <w:rPr>
          <w:sz w:val="24"/>
          <w:szCs w:val="24"/>
        </w:rPr>
        <w:t xml:space="preserve">                                                        </w:t>
      </w:r>
      <w:r>
        <w:rPr>
          <w:sz w:val="24"/>
          <w:szCs w:val="24"/>
        </w:rPr>
        <w:tab/>
      </w:r>
      <w:r>
        <w:rPr>
          <w:sz w:val="24"/>
          <w:szCs w:val="24"/>
        </w:rPr>
        <w:tab/>
      </w:r>
      <w:r w:rsidRPr="004A6CA3">
        <w:rPr>
          <w:sz w:val="24"/>
          <w:szCs w:val="24"/>
        </w:rPr>
        <w:t xml:space="preserve">   </w:t>
      </w:r>
      <w:r w:rsidRPr="00036772">
        <w:rPr>
          <w:sz w:val="24"/>
          <w:szCs w:val="24"/>
        </w:rPr>
        <w:t>«25» августа</w:t>
      </w:r>
      <w:r w:rsidRPr="004A6CA3">
        <w:rPr>
          <w:sz w:val="24"/>
          <w:szCs w:val="24"/>
        </w:rPr>
        <w:t xml:space="preserve"> 2016 года</w:t>
      </w:r>
    </w:p>
    <w:p w:rsidR="00085651" w:rsidRPr="004A6CA3" w:rsidRDefault="00085651" w:rsidP="00085651">
      <w:pPr>
        <w:pStyle w:val="a3"/>
        <w:ind w:firstLine="567"/>
        <w:jc w:val="both"/>
        <w:rPr>
          <w:b/>
          <w:sz w:val="24"/>
          <w:szCs w:val="24"/>
          <w:highlight w:val="yellow"/>
        </w:rPr>
      </w:pPr>
    </w:p>
    <w:p w:rsidR="00085651" w:rsidRPr="004A6CA3" w:rsidRDefault="00085651" w:rsidP="00085651">
      <w:pPr>
        <w:autoSpaceDE w:val="0"/>
        <w:autoSpaceDN w:val="0"/>
        <w:adjustRightInd w:val="0"/>
        <w:spacing w:line="240" w:lineRule="atLeast"/>
        <w:ind w:firstLine="708"/>
        <w:jc w:val="both"/>
        <w:rPr>
          <w:rFonts w:eastAsia="Calibri"/>
          <w:sz w:val="24"/>
          <w:szCs w:val="24"/>
          <w:lang w:eastAsia="en-US"/>
        </w:rPr>
      </w:pPr>
      <w:r w:rsidRPr="004A6CA3">
        <w:rPr>
          <w:rFonts w:eastAsia="Calibri"/>
          <w:sz w:val="24"/>
          <w:szCs w:val="24"/>
          <w:lang w:eastAsia="en-US"/>
        </w:rPr>
        <w:t xml:space="preserve">Основание проведение проверки: пункт </w:t>
      </w:r>
      <w:r w:rsidRPr="004A6CA3">
        <w:rPr>
          <w:sz w:val="24"/>
          <w:szCs w:val="24"/>
        </w:rPr>
        <w:t>2.6 раздела «Контрольные мероприятия» плана работы ревизионной комиссии Каратузского района на 2016 год, утвержденного Решением Каратузского районного Совета депутатов от 15.12.2015 г. № 04-28, распоряжение Каратузского районного Совета депутатов от 02.08.2016 № 19-р/с,  письмо прокуратуры Каратузского района от 01.08.2016 № 7-01 2016</w:t>
      </w:r>
    </w:p>
    <w:p w:rsidR="00085651" w:rsidRPr="004A6CA3" w:rsidRDefault="00085651" w:rsidP="00085651">
      <w:pPr>
        <w:pStyle w:val="a3"/>
        <w:ind w:firstLine="567"/>
        <w:jc w:val="both"/>
        <w:rPr>
          <w:b/>
          <w:sz w:val="24"/>
          <w:szCs w:val="24"/>
        </w:rPr>
      </w:pPr>
      <w:r w:rsidRPr="004A6CA3">
        <w:rPr>
          <w:b/>
          <w:sz w:val="24"/>
          <w:szCs w:val="24"/>
        </w:rPr>
        <w:t>1.Цель контрольного мероприятия:</w:t>
      </w:r>
    </w:p>
    <w:p w:rsidR="00085651" w:rsidRPr="004A6CA3" w:rsidRDefault="00085651" w:rsidP="00FA20E8">
      <w:pPr>
        <w:ind w:firstLine="567"/>
        <w:rPr>
          <w:sz w:val="24"/>
          <w:szCs w:val="24"/>
        </w:rPr>
      </w:pPr>
      <w:r w:rsidRPr="004A6CA3">
        <w:rPr>
          <w:rFonts w:eastAsia="Calibri"/>
          <w:sz w:val="24"/>
          <w:szCs w:val="24"/>
        </w:rPr>
        <w:t>Проверка целевого расходования бюджетных средств, выделенных на реализацию муниципальн</w:t>
      </w:r>
      <w:r w:rsidR="00FA20E8">
        <w:rPr>
          <w:rFonts w:eastAsia="Calibri"/>
          <w:sz w:val="24"/>
          <w:szCs w:val="24"/>
        </w:rPr>
        <w:t>ых</w:t>
      </w:r>
      <w:r w:rsidRPr="004A6CA3">
        <w:rPr>
          <w:rFonts w:eastAsia="Calibri"/>
          <w:sz w:val="24"/>
          <w:szCs w:val="24"/>
        </w:rPr>
        <w:t xml:space="preserve"> программ</w:t>
      </w:r>
      <w:r w:rsidR="00FA20E8">
        <w:rPr>
          <w:rFonts w:eastAsia="Calibri"/>
          <w:sz w:val="24"/>
          <w:szCs w:val="24"/>
        </w:rPr>
        <w:t xml:space="preserve"> по  з</w:t>
      </w:r>
      <w:r w:rsidRPr="004A6CA3">
        <w:rPr>
          <w:rFonts w:eastAsia="Calibri"/>
          <w:sz w:val="24"/>
          <w:szCs w:val="24"/>
        </w:rPr>
        <w:t>ащит</w:t>
      </w:r>
      <w:r w:rsidR="00FA20E8">
        <w:rPr>
          <w:rFonts w:eastAsia="Calibri"/>
          <w:sz w:val="24"/>
          <w:szCs w:val="24"/>
        </w:rPr>
        <w:t>е</w:t>
      </w:r>
      <w:r w:rsidRPr="004A6CA3">
        <w:rPr>
          <w:rFonts w:eastAsia="Calibri"/>
          <w:sz w:val="24"/>
          <w:szCs w:val="24"/>
        </w:rPr>
        <w:t xml:space="preserve"> населения и территорий Каратузского района от чрезвычайных ситуаций природного и техногенного характера, законность размещения муниципальных заказов</w:t>
      </w:r>
      <w:r w:rsidRPr="004A6CA3">
        <w:rPr>
          <w:sz w:val="24"/>
          <w:szCs w:val="24"/>
        </w:rPr>
        <w:t>.</w:t>
      </w:r>
    </w:p>
    <w:p w:rsidR="00085651" w:rsidRPr="004A6CA3" w:rsidRDefault="00085651" w:rsidP="00085651">
      <w:pPr>
        <w:pStyle w:val="a3"/>
        <w:ind w:firstLine="567"/>
        <w:jc w:val="both"/>
        <w:rPr>
          <w:b/>
          <w:sz w:val="24"/>
          <w:szCs w:val="24"/>
        </w:rPr>
      </w:pPr>
      <w:r w:rsidRPr="004A6CA3">
        <w:rPr>
          <w:b/>
          <w:sz w:val="24"/>
          <w:szCs w:val="24"/>
        </w:rPr>
        <w:t xml:space="preserve">2.Предмет контрольного мероприятия: </w:t>
      </w:r>
      <w:r w:rsidRPr="004A6CA3">
        <w:rPr>
          <w:sz w:val="24"/>
          <w:szCs w:val="24"/>
          <w:highlight w:val="yellow"/>
        </w:rPr>
        <w:t xml:space="preserve">        </w:t>
      </w:r>
    </w:p>
    <w:p w:rsidR="00085651" w:rsidRPr="004A6CA3" w:rsidRDefault="00085651" w:rsidP="00085651">
      <w:pPr>
        <w:tabs>
          <w:tab w:val="left" w:pos="1080"/>
        </w:tabs>
        <w:ind w:firstLine="567"/>
        <w:jc w:val="both"/>
        <w:rPr>
          <w:sz w:val="24"/>
          <w:szCs w:val="24"/>
        </w:rPr>
      </w:pPr>
      <w:proofErr w:type="gramStart"/>
      <w:r w:rsidRPr="004A6CA3">
        <w:rPr>
          <w:sz w:val="24"/>
          <w:szCs w:val="24"/>
        </w:rPr>
        <w:t>Журналы регистрации принятых сообщений об угрозе возникновения ЧС, Положение «О единой дежурно-диспетчерской службе Каратузского района»,  Положение об оплате труда, штатные расписания, бюджетная отчетность о финансовых результатах, статистические данные об исполнении муниципальн</w:t>
      </w:r>
      <w:r w:rsidR="00FA20E8">
        <w:rPr>
          <w:sz w:val="24"/>
          <w:szCs w:val="24"/>
        </w:rPr>
        <w:t>ых</w:t>
      </w:r>
      <w:r w:rsidRPr="004A6CA3">
        <w:rPr>
          <w:sz w:val="24"/>
          <w:szCs w:val="24"/>
        </w:rPr>
        <w:t xml:space="preserve"> программ</w:t>
      </w:r>
      <w:r w:rsidR="00FA20E8">
        <w:rPr>
          <w:sz w:val="24"/>
          <w:szCs w:val="24"/>
        </w:rPr>
        <w:t xml:space="preserve"> по з</w:t>
      </w:r>
      <w:r w:rsidRPr="004A6CA3">
        <w:rPr>
          <w:sz w:val="24"/>
          <w:szCs w:val="24"/>
        </w:rPr>
        <w:t>ащит</w:t>
      </w:r>
      <w:r w:rsidR="00FA20E8">
        <w:rPr>
          <w:sz w:val="24"/>
          <w:szCs w:val="24"/>
        </w:rPr>
        <w:t>е</w:t>
      </w:r>
      <w:r w:rsidRPr="004A6CA3">
        <w:rPr>
          <w:sz w:val="24"/>
          <w:szCs w:val="24"/>
        </w:rPr>
        <w:t xml:space="preserve"> населения и территорий Каратузского района от чрезвычайных ситуаций природного и техногенного характера, первичные документы по использованию бюджетных средств, конкурсная документация и др.</w:t>
      </w:r>
      <w:proofErr w:type="gramEnd"/>
    </w:p>
    <w:p w:rsidR="00085651" w:rsidRPr="004A6CA3" w:rsidRDefault="00085651" w:rsidP="00085651">
      <w:pPr>
        <w:pStyle w:val="a3"/>
        <w:ind w:firstLine="567"/>
        <w:jc w:val="both"/>
        <w:rPr>
          <w:b/>
          <w:sz w:val="24"/>
          <w:szCs w:val="24"/>
        </w:rPr>
      </w:pPr>
      <w:r w:rsidRPr="004A6CA3">
        <w:rPr>
          <w:b/>
          <w:sz w:val="24"/>
          <w:szCs w:val="24"/>
        </w:rPr>
        <w:t>3.Объекты  контрольного мероприятия:</w:t>
      </w:r>
    </w:p>
    <w:p w:rsidR="00085651" w:rsidRPr="004A6CA3" w:rsidRDefault="00085651" w:rsidP="00085651">
      <w:pPr>
        <w:pStyle w:val="a3"/>
        <w:ind w:firstLine="567"/>
        <w:jc w:val="both"/>
        <w:rPr>
          <w:bCs/>
          <w:sz w:val="24"/>
          <w:szCs w:val="24"/>
        </w:rPr>
      </w:pPr>
      <w:proofErr w:type="gramStart"/>
      <w:r w:rsidRPr="004A6CA3">
        <w:rPr>
          <w:bCs/>
          <w:sz w:val="24"/>
          <w:szCs w:val="24"/>
        </w:rPr>
        <w:t>Администрация Каратузского района (единая дежурно-дис</w:t>
      </w:r>
      <w:r>
        <w:rPr>
          <w:bCs/>
          <w:sz w:val="24"/>
          <w:szCs w:val="24"/>
        </w:rPr>
        <w:t>петчерская служба (далее-ЕДДС)</w:t>
      </w:r>
      <w:r w:rsidR="00266490">
        <w:rPr>
          <w:bCs/>
          <w:sz w:val="24"/>
          <w:szCs w:val="24"/>
        </w:rPr>
        <w:t xml:space="preserve"> и администрация Каратузского сельсовета))</w:t>
      </w:r>
      <w:r w:rsidRPr="004A6CA3">
        <w:rPr>
          <w:sz w:val="24"/>
          <w:szCs w:val="24"/>
          <w:lang w:eastAsia="ar-SA"/>
        </w:rPr>
        <w:t>.</w:t>
      </w:r>
      <w:r w:rsidRPr="004A6CA3">
        <w:rPr>
          <w:bCs/>
          <w:sz w:val="24"/>
          <w:szCs w:val="24"/>
        </w:rPr>
        <w:t xml:space="preserve"> </w:t>
      </w:r>
      <w:proofErr w:type="gramEnd"/>
    </w:p>
    <w:p w:rsidR="00085651" w:rsidRPr="004A6CA3" w:rsidRDefault="00085651" w:rsidP="00085651">
      <w:pPr>
        <w:pStyle w:val="a3"/>
        <w:ind w:firstLine="567"/>
        <w:jc w:val="both"/>
        <w:rPr>
          <w:bCs/>
          <w:sz w:val="24"/>
          <w:szCs w:val="24"/>
        </w:rPr>
      </w:pPr>
      <w:r w:rsidRPr="004A6CA3">
        <w:rPr>
          <w:b/>
          <w:sz w:val="24"/>
          <w:szCs w:val="24"/>
        </w:rPr>
        <w:t>4.Проверяемый период деятельности:</w:t>
      </w:r>
      <w:r w:rsidRPr="004A6CA3">
        <w:rPr>
          <w:sz w:val="24"/>
          <w:szCs w:val="24"/>
        </w:rPr>
        <w:t xml:space="preserve">  2015 год, текущий период </w:t>
      </w:r>
      <w:r w:rsidRPr="004A6CA3">
        <w:rPr>
          <w:bCs/>
          <w:sz w:val="24"/>
          <w:szCs w:val="24"/>
        </w:rPr>
        <w:t>2016 года.</w:t>
      </w:r>
    </w:p>
    <w:p w:rsidR="00085651" w:rsidRPr="004A6CA3" w:rsidRDefault="00085651" w:rsidP="00085651">
      <w:pPr>
        <w:pStyle w:val="a3"/>
        <w:ind w:firstLine="567"/>
        <w:jc w:val="both"/>
        <w:rPr>
          <w:sz w:val="24"/>
          <w:szCs w:val="24"/>
        </w:rPr>
      </w:pPr>
      <w:r w:rsidRPr="004A6CA3">
        <w:rPr>
          <w:b/>
          <w:sz w:val="24"/>
          <w:szCs w:val="24"/>
        </w:rPr>
        <w:t>5.Срок проведения контрольного мероприятия:</w:t>
      </w:r>
      <w:r w:rsidRPr="004A6CA3">
        <w:rPr>
          <w:sz w:val="24"/>
          <w:szCs w:val="24"/>
        </w:rPr>
        <w:t xml:space="preserve">  с «05» августа 2016 года  </w:t>
      </w:r>
      <w:r w:rsidRPr="00036772">
        <w:rPr>
          <w:sz w:val="24"/>
          <w:szCs w:val="24"/>
        </w:rPr>
        <w:t>по «25» августа  2016 года.</w:t>
      </w:r>
      <w:r w:rsidRPr="004A6CA3">
        <w:rPr>
          <w:sz w:val="24"/>
          <w:szCs w:val="24"/>
        </w:rPr>
        <w:t xml:space="preserve"> </w:t>
      </w:r>
    </w:p>
    <w:p w:rsidR="00085651" w:rsidRPr="004A6CA3" w:rsidRDefault="00085651" w:rsidP="00085651">
      <w:pPr>
        <w:widowControl w:val="0"/>
        <w:suppressAutoHyphens/>
        <w:ind w:firstLine="709"/>
        <w:jc w:val="both"/>
        <w:rPr>
          <w:b/>
          <w:bCs/>
          <w:kern w:val="1"/>
          <w:sz w:val="24"/>
          <w:szCs w:val="24"/>
          <w:lang w:eastAsia="ar-SA"/>
        </w:rPr>
      </w:pPr>
      <w:r w:rsidRPr="004A6CA3">
        <w:rPr>
          <w:b/>
          <w:bCs/>
          <w:kern w:val="1"/>
          <w:sz w:val="24"/>
          <w:szCs w:val="24"/>
          <w:lang w:eastAsia="ar-SA"/>
        </w:rPr>
        <w:t>6. По результатам контр</w:t>
      </w:r>
      <w:r w:rsidR="00266490">
        <w:rPr>
          <w:b/>
          <w:bCs/>
          <w:kern w:val="1"/>
          <w:sz w:val="24"/>
          <w:szCs w:val="24"/>
          <w:lang w:eastAsia="ar-SA"/>
        </w:rPr>
        <w:t>ольного мероприятия установлено:</w:t>
      </w:r>
    </w:p>
    <w:p w:rsidR="00085651" w:rsidRDefault="00FA20E8" w:rsidP="00085651">
      <w:pPr>
        <w:ind w:firstLine="708"/>
        <w:jc w:val="both"/>
        <w:rPr>
          <w:rFonts w:eastAsia="Courier New"/>
          <w:bCs/>
          <w:color w:val="000000"/>
          <w:kern w:val="1"/>
          <w:sz w:val="24"/>
          <w:szCs w:val="24"/>
          <w:lang w:eastAsia="ar-SA"/>
        </w:rPr>
      </w:pPr>
      <w:r w:rsidRPr="00FA20E8">
        <w:rPr>
          <w:rFonts w:eastAsia="Courier New"/>
          <w:b/>
          <w:bCs/>
          <w:color w:val="000000"/>
          <w:kern w:val="1"/>
          <w:sz w:val="24"/>
          <w:szCs w:val="24"/>
          <w:lang w:eastAsia="ar-SA"/>
        </w:rPr>
        <w:t>6.1.</w:t>
      </w:r>
      <w:r>
        <w:rPr>
          <w:rFonts w:eastAsia="Courier New"/>
          <w:bCs/>
          <w:color w:val="000000"/>
          <w:kern w:val="1"/>
          <w:sz w:val="24"/>
          <w:szCs w:val="24"/>
          <w:lang w:eastAsia="ar-SA"/>
        </w:rPr>
        <w:t xml:space="preserve"> </w:t>
      </w:r>
      <w:r w:rsidR="00085651" w:rsidRPr="009713E5">
        <w:rPr>
          <w:rFonts w:eastAsia="Courier New"/>
          <w:bCs/>
          <w:color w:val="000000"/>
          <w:kern w:val="1"/>
          <w:sz w:val="24"/>
          <w:szCs w:val="24"/>
          <w:lang w:eastAsia="ar-SA"/>
        </w:rPr>
        <w:t xml:space="preserve">В рамках контрольного мероприятия </w:t>
      </w:r>
      <w:r w:rsidR="00085651">
        <w:rPr>
          <w:rFonts w:eastAsia="Courier New"/>
          <w:bCs/>
          <w:color w:val="000000"/>
          <w:kern w:val="1"/>
          <w:sz w:val="24"/>
          <w:szCs w:val="24"/>
          <w:lang w:eastAsia="ar-SA"/>
        </w:rPr>
        <w:t xml:space="preserve">в ходе </w:t>
      </w:r>
      <w:r w:rsidR="00085651" w:rsidRPr="009713E5">
        <w:rPr>
          <w:rFonts w:eastAsia="Courier New"/>
          <w:bCs/>
          <w:color w:val="000000"/>
          <w:kern w:val="1"/>
          <w:sz w:val="24"/>
          <w:szCs w:val="24"/>
          <w:lang w:eastAsia="ar-SA"/>
        </w:rPr>
        <w:t xml:space="preserve"> проверк</w:t>
      </w:r>
      <w:r w:rsidR="00085651">
        <w:rPr>
          <w:rFonts w:eastAsia="Courier New"/>
          <w:bCs/>
          <w:color w:val="000000"/>
          <w:kern w:val="1"/>
          <w:sz w:val="24"/>
          <w:szCs w:val="24"/>
          <w:lang w:eastAsia="ar-SA"/>
        </w:rPr>
        <w:t>и</w:t>
      </w:r>
      <w:r w:rsidR="00085651" w:rsidRPr="009713E5">
        <w:rPr>
          <w:rFonts w:eastAsia="Courier New"/>
          <w:bCs/>
          <w:color w:val="000000"/>
          <w:kern w:val="1"/>
          <w:sz w:val="24"/>
          <w:szCs w:val="24"/>
          <w:lang w:eastAsia="ar-SA"/>
        </w:rPr>
        <w:t xml:space="preserve"> целевого расходования бюджетных средств, выделенных на реализацию муниципальн</w:t>
      </w:r>
      <w:r w:rsidR="00085651">
        <w:rPr>
          <w:rFonts w:eastAsia="Courier New"/>
          <w:bCs/>
          <w:color w:val="000000"/>
          <w:kern w:val="1"/>
          <w:sz w:val="24"/>
          <w:szCs w:val="24"/>
          <w:lang w:eastAsia="ar-SA"/>
        </w:rPr>
        <w:t>ой</w:t>
      </w:r>
      <w:r w:rsidR="00085651" w:rsidRPr="009713E5">
        <w:rPr>
          <w:rFonts w:eastAsia="Courier New"/>
          <w:bCs/>
          <w:color w:val="000000"/>
          <w:kern w:val="1"/>
          <w:sz w:val="24"/>
          <w:szCs w:val="24"/>
          <w:lang w:eastAsia="ar-SA"/>
        </w:rPr>
        <w:t xml:space="preserve"> программ</w:t>
      </w:r>
      <w:r w:rsidR="00085651">
        <w:rPr>
          <w:rFonts w:eastAsia="Courier New"/>
          <w:bCs/>
          <w:color w:val="000000"/>
          <w:kern w:val="1"/>
          <w:sz w:val="24"/>
          <w:szCs w:val="24"/>
          <w:lang w:eastAsia="ar-SA"/>
        </w:rPr>
        <w:t>ы</w:t>
      </w:r>
      <w:r w:rsidR="00085651" w:rsidRPr="009713E5">
        <w:rPr>
          <w:rFonts w:eastAsia="Courier New"/>
          <w:bCs/>
          <w:color w:val="000000"/>
          <w:kern w:val="1"/>
          <w:sz w:val="24"/>
          <w:szCs w:val="24"/>
          <w:lang w:eastAsia="ar-SA"/>
        </w:rPr>
        <w:t>:</w:t>
      </w:r>
      <w:r w:rsidR="00085651">
        <w:rPr>
          <w:rFonts w:eastAsia="Courier New"/>
          <w:bCs/>
          <w:color w:val="000000"/>
          <w:kern w:val="1"/>
          <w:sz w:val="24"/>
          <w:szCs w:val="24"/>
          <w:lang w:eastAsia="ar-SA"/>
        </w:rPr>
        <w:t xml:space="preserve"> </w:t>
      </w:r>
      <w:r w:rsidR="00085651" w:rsidRPr="009713E5">
        <w:rPr>
          <w:rFonts w:eastAsia="Courier New"/>
          <w:bCs/>
          <w:color w:val="000000"/>
          <w:kern w:val="1"/>
          <w:sz w:val="24"/>
          <w:szCs w:val="24"/>
          <w:lang w:eastAsia="ar-SA"/>
        </w:rPr>
        <w:t>«Защита населения и территорий Каратузского района от чрезвычайных ситуаций приро</w:t>
      </w:r>
      <w:r w:rsidR="00085651">
        <w:rPr>
          <w:rFonts w:eastAsia="Courier New"/>
          <w:bCs/>
          <w:color w:val="000000"/>
          <w:kern w:val="1"/>
          <w:sz w:val="24"/>
          <w:szCs w:val="24"/>
          <w:lang w:eastAsia="ar-SA"/>
        </w:rPr>
        <w:t>дного и техногенного характера»:</w:t>
      </w:r>
    </w:p>
    <w:p w:rsidR="00302061" w:rsidRDefault="00302061" w:rsidP="00085651">
      <w:pPr>
        <w:ind w:firstLine="708"/>
        <w:jc w:val="both"/>
        <w:rPr>
          <w:rFonts w:eastAsia="Courier New"/>
          <w:bCs/>
          <w:color w:val="000000"/>
          <w:kern w:val="1"/>
          <w:sz w:val="24"/>
          <w:szCs w:val="24"/>
          <w:lang w:eastAsia="ar-SA"/>
        </w:rPr>
      </w:pPr>
      <w:r>
        <w:rPr>
          <w:rFonts w:eastAsia="Courier New"/>
          <w:bCs/>
          <w:color w:val="000000"/>
          <w:kern w:val="1"/>
          <w:sz w:val="24"/>
          <w:szCs w:val="24"/>
          <w:lang w:eastAsia="ar-SA"/>
        </w:rPr>
        <w:t xml:space="preserve">Проверка целевого использования бюджетных средств на реализации  отдельных программных мероприятий в 2015 году  </w:t>
      </w:r>
      <w:r w:rsidRPr="00302061">
        <w:rPr>
          <w:rFonts w:eastAsia="Courier New"/>
          <w:bCs/>
          <w:color w:val="000000"/>
          <w:kern w:val="1"/>
          <w:sz w:val="24"/>
          <w:szCs w:val="24"/>
          <w:lang w:eastAsia="ar-SA"/>
        </w:rPr>
        <w:t>было отражено в акте «Проверка  соблюдения органами местного самоуправления бюджетного законодательства при расходовании бюджетных средств, в рамках мероприятий по вопросам профилактики правонарушений и преступлений  и анализ муниципальных программ» от 25.03.2016 года, проводимой  ранее по заданию прокуратуры Каратузского района.</w:t>
      </w:r>
      <w:bookmarkStart w:id="0" w:name="_GoBack"/>
      <w:bookmarkEnd w:id="0"/>
    </w:p>
    <w:p w:rsidR="00085651" w:rsidRDefault="00085651" w:rsidP="00085651">
      <w:pPr>
        <w:ind w:firstLine="708"/>
        <w:jc w:val="both"/>
        <w:rPr>
          <w:rFonts w:eastAsia="Courier New"/>
          <w:bCs/>
          <w:color w:val="000000"/>
          <w:kern w:val="1"/>
          <w:sz w:val="24"/>
          <w:szCs w:val="24"/>
          <w:lang w:eastAsia="ar-SA"/>
        </w:rPr>
      </w:pPr>
      <w:r>
        <w:rPr>
          <w:rFonts w:eastAsia="Courier New"/>
          <w:bCs/>
          <w:color w:val="000000"/>
          <w:kern w:val="1"/>
          <w:sz w:val="24"/>
          <w:szCs w:val="24"/>
          <w:lang w:eastAsia="ar-SA"/>
        </w:rPr>
        <w:t xml:space="preserve">По результатам проверки соблюдения  размещения заказов на поставку оборудования требованиям  № 44 ФЗ: </w:t>
      </w:r>
    </w:p>
    <w:p w:rsidR="00085651" w:rsidRDefault="00085651" w:rsidP="00085651">
      <w:pPr>
        <w:widowControl w:val="0"/>
        <w:suppressAutoHyphens/>
        <w:ind w:firstLine="709"/>
        <w:jc w:val="both"/>
        <w:textAlignment w:val="baseline"/>
        <w:rPr>
          <w:kern w:val="1"/>
          <w:sz w:val="24"/>
          <w:szCs w:val="24"/>
          <w:lang w:eastAsia="fa-IR" w:bidi="fa-IR"/>
        </w:rPr>
      </w:pPr>
      <w:r>
        <w:rPr>
          <w:kern w:val="1"/>
          <w:sz w:val="24"/>
          <w:szCs w:val="24"/>
          <w:lang w:eastAsia="fa-IR" w:bidi="fa-IR"/>
        </w:rPr>
        <w:t xml:space="preserve">в нарушение п.2 ст. 72 БК РФ объем </w:t>
      </w:r>
      <w:r w:rsidRPr="00296C85">
        <w:rPr>
          <w:kern w:val="1"/>
          <w:sz w:val="24"/>
          <w:szCs w:val="24"/>
          <w:lang w:eastAsia="fa-IR" w:bidi="fa-IR"/>
        </w:rPr>
        <w:t>средств,  предусмотренных в извещениях о проведении электронного аукциона</w:t>
      </w:r>
      <w:r>
        <w:rPr>
          <w:kern w:val="1"/>
          <w:sz w:val="24"/>
          <w:szCs w:val="24"/>
          <w:lang w:eastAsia="fa-IR" w:bidi="fa-IR"/>
        </w:rPr>
        <w:t xml:space="preserve"> на приобретение оборудования</w:t>
      </w:r>
      <w:r w:rsidRPr="00296C85">
        <w:rPr>
          <w:kern w:val="1"/>
          <w:sz w:val="24"/>
          <w:szCs w:val="24"/>
          <w:lang w:eastAsia="fa-IR" w:bidi="fa-IR"/>
        </w:rPr>
        <w:t xml:space="preserve"> </w:t>
      </w:r>
      <w:r>
        <w:rPr>
          <w:kern w:val="1"/>
          <w:sz w:val="24"/>
          <w:szCs w:val="24"/>
          <w:lang w:eastAsia="fa-IR" w:bidi="fa-IR"/>
        </w:rPr>
        <w:t xml:space="preserve">в 2016 году </w:t>
      </w:r>
      <w:r w:rsidRPr="00296C85">
        <w:rPr>
          <w:kern w:val="1"/>
          <w:sz w:val="24"/>
          <w:szCs w:val="24"/>
          <w:lang w:eastAsia="fa-IR" w:bidi="fa-IR"/>
        </w:rPr>
        <w:t>за счет сре</w:t>
      </w:r>
      <w:proofErr w:type="gramStart"/>
      <w:r w:rsidRPr="00296C85">
        <w:rPr>
          <w:kern w:val="1"/>
          <w:sz w:val="24"/>
          <w:szCs w:val="24"/>
          <w:lang w:eastAsia="fa-IR" w:bidi="fa-IR"/>
        </w:rPr>
        <w:t>дств кр</w:t>
      </w:r>
      <w:proofErr w:type="gramEnd"/>
      <w:r w:rsidRPr="00296C85">
        <w:rPr>
          <w:kern w:val="1"/>
          <w:sz w:val="24"/>
          <w:szCs w:val="24"/>
          <w:lang w:eastAsia="fa-IR" w:bidi="fa-IR"/>
        </w:rPr>
        <w:t>аевого бюджета превысил лимиты бюджетных обязательств</w:t>
      </w:r>
      <w:r>
        <w:rPr>
          <w:kern w:val="1"/>
          <w:sz w:val="24"/>
          <w:szCs w:val="24"/>
          <w:lang w:eastAsia="fa-IR" w:bidi="fa-IR"/>
        </w:rPr>
        <w:t xml:space="preserve"> на 96,8 тыс. рублей;</w:t>
      </w:r>
    </w:p>
    <w:p w:rsidR="00085651" w:rsidRPr="00186E91" w:rsidRDefault="00085651" w:rsidP="00085651">
      <w:pPr>
        <w:widowControl w:val="0"/>
        <w:suppressAutoHyphens/>
        <w:ind w:firstLine="709"/>
        <w:jc w:val="both"/>
        <w:textAlignment w:val="baseline"/>
        <w:rPr>
          <w:i/>
          <w:kern w:val="1"/>
          <w:sz w:val="24"/>
          <w:szCs w:val="24"/>
          <w:lang w:eastAsia="fa-IR" w:bidi="fa-IR"/>
        </w:rPr>
      </w:pPr>
      <w:proofErr w:type="gramStart"/>
      <w:r w:rsidRPr="00186E91">
        <w:rPr>
          <w:kern w:val="1"/>
          <w:sz w:val="24"/>
          <w:szCs w:val="24"/>
          <w:lang w:eastAsia="fa-IR" w:bidi="fa-IR"/>
        </w:rPr>
        <w:t xml:space="preserve">в нарушение ч.3 ст. 66  № 44 ФЗ в документациях об электронном аукционе на приобретение оборудования в 2016 году в пп.4.1 п.4 «Требования к содержанию, составу заявки на участие в электронном аукционе и инструкции по ее заполнению»   указаны сведения, содержащие в первых частях заявки </w:t>
      </w:r>
      <w:r w:rsidRPr="00186E91">
        <w:rPr>
          <w:sz w:val="24"/>
          <w:szCs w:val="24"/>
        </w:rPr>
        <w:t>«</w:t>
      </w:r>
      <w:r w:rsidRPr="00186E91">
        <w:rPr>
          <w:i/>
          <w:kern w:val="1"/>
          <w:sz w:val="24"/>
          <w:szCs w:val="24"/>
          <w:lang w:eastAsia="fa-IR" w:bidi="fa-IR"/>
        </w:rPr>
        <w:t>места происхождения товара или наименование производителя товара</w:t>
      </w:r>
      <w:r w:rsidRPr="00186E91">
        <w:rPr>
          <w:kern w:val="1"/>
          <w:sz w:val="24"/>
          <w:szCs w:val="24"/>
          <w:lang w:eastAsia="fa-IR" w:bidi="fa-IR"/>
        </w:rPr>
        <w:t>»</w:t>
      </w:r>
      <w:r w:rsidRPr="00186E91">
        <w:rPr>
          <w:sz w:val="24"/>
          <w:szCs w:val="24"/>
        </w:rPr>
        <w:t xml:space="preserve">, </w:t>
      </w:r>
      <w:r w:rsidRPr="00186E91">
        <w:rPr>
          <w:kern w:val="1"/>
          <w:sz w:val="24"/>
          <w:szCs w:val="24"/>
          <w:lang w:eastAsia="fa-IR" w:bidi="fa-IR"/>
        </w:rPr>
        <w:t xml:space="preserve">в подпунктах 4.1.2 </w:t>
      </w:r>
      <w:r w:rsidRPr="00186E91">
        <w:rPr>
          <w:i/>
          <w:kern w:val="1"/>
          <w:sz w:val="24"/>
          <w:szCs w:val="24"/>
          <w:lang w:eastAsia="fa-IR" w:bidi="fa-IR"/>
        </w:rPr>
        <w:t xml:space="preserve">«места происхождения </w:t>
      </w:r>
      <w:r w:rsidRPr="00186E91">
        <w:rPr>
          <w:i/>
          <w:kern w:val="1"/>
          <w:sz w:val="24"/>
          <w:szCs w:val="24"/>
          <w:lang w:eastAsia="fa-IR" w:bidi="fa-IR"/>
        </w:rPr>
        <w:lastRenderedPageBreak/>
        <w:t>товара</w:t>
      </w:r>
      <w:r w:rsidRPr="00186E91">
        <w:rPr>
          <w:kern w:val="1"/>
          <w:sz w:val="24"/>
          <w:szCs w:val="24"/>
          <w:lang w:eastAsia="fa-IR" w:bidi="fa-IR"/>
        </w:rPr>
        <w:t xml:space="preserve">… </w:t>
      </w:r>
      <w:r w:rsidRPr="00186E91">
        <w:rPr>
          <w:i/>
          <w:kern w:val="1"/>
          <w:sz w:val="24"/>
          <w:szCs w:val="24"/>
          <w:lang w:eastAsia="fa-IR" w:bidi="fa-IR"/>
        </w:rPr>
        <w:t>или</w:t>
      </w:r>
      <w:proofErr w:type="gramEnd"/>
      <w:r w:rsidRPr="00186E91">
        <w:rPr>
          <w:i/>
          <w:kern w:val="1"/>
          <w:sz w:val="24"/>
          <w:szCs w:val="24"/>
          <w:lang w:eastAsia="fa-IR" w:bidi="fa-IR"/>
        </w:rPr>
        <w:t xml:space="preserve">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085651" w:rsidRPr="00186E91" w:rsidRDefault="00085651" w:rsidP="00085651">
      <w:pPr>
        <w:widowControl w:val="0"/>
        <w:suppressAutoHyphens/>
        <w:ind w:firstLine="709"/>
        <w:jc w:val="both"/>
        <w:textAlignment w:val="baseline"/>
        <w:rPr>
          <w:kern w:val="1"/>
          <w:sz w:val="24"/>
          <w:szCs w:val="24"/>
          <w:lang w:eastAsia="fa-IR" w:bidi="fa-IR"/>
        </w:rPr>
      </w:pPr>
      <w:r w:rsidRPr="00186E91">
        <w:rPr>
          <w:kern w:val="1"/>
          <w:sz w:val="24"/>
          <w:szCs w:val="24"/>
          <w:lang w:eastAsia="fa-IR" w:bidi="fa-IR"/>
        </w:rPr>
        <w:t>в нарушение ст. 95 № 44 ФЗ  в подпунктах 13.5 п. 13 «Заключение, изменение и расторжение контракта» указано, что  «</w:t>
      </w:r>
      <w:r w:rsidRPr="00186E91">
        <w:rPr>
          <w:i/>
          <w:kern w:val="1"/>
          <w:sz w:val="24"/>
          <w:szCs w:val="24"/>
          <w:lang w:eastAsia="fa-IR" w:bidi="fa-IR"/>
        </w:rPr>
        <w:t>решение заказчика об одностороннем отказе от исполнения контракта в течени</w:t>
      </w:r>
      <w:proofErr w:type="gramStart"/>
      <w:r w:rsidRPr="00186E91">
        <w:rPr>
          <w:i/>
          <w:kern w:val="1"/>
          <w:sz w:val="24"/>
          <w:szCs w:val="24"/>
          <w:lang w:eastAsia="fa-IR" w:bidi="fa-IR"/>
        </w:rPr>
        <w:t>и</w:t>
      </w:r>
      <w:proofErr w:type="gramEnd"/>
      <w:r w:rsidRPr="00186E91">
        <w:rPr>
          <w:i/>
          <w:kern w:val="1"/>
          <w:sz w:val="24"/>
          <w:szCs w:val="24"/>
          <w:lang w:eastAsia="fa-IR" w:bidi="fa-IR"/>
        </w:rPr>
        <w:t xml:space="preserve"> </w:t>
      </w:r>
      <w:r w:rsidRPr="00186E91">
        <w:rPr>
          <w:i/>
          <w:kern w:val="1"/>
          <w:sz w:val="24"/>
          <w:szCs w:val="24"/>
          <w:u w:val="single"/>
          <w:lang w:eastAsia="fa-IR" w:bidi="fa-IR"/>
        </w:rPr>
        <w:t>одного рабочего дня, следующего за датой принятия указанного решения,</w:t>
      </w:r>
      <w:r w:rsidRPr="00186E91">
        <w:rPr>
          <w:i/>
          <w:kern w:val="1"/>
          <w:sz w:val="24"/>
          <w:szCs w:val="24"/>
          <w:lang w:eastAsia="fa-IR" w:bidi="fa-IR"/>
        </w:rPr>
        <w:t xml:space="preserve"> размещается на официальном сайте</w:t>
      </w:r>
      <w:r w:rsidRPr="00186E91">
        <w:rPr>
          <w:kern w:val="1"/>
          <w:sz w:val="24"/>
          <w:szCs w:val="24"/>
          <w:lang w:eastAsia="fa-IR" w:bidi="fa-IR"/>
        </w:rPr>
        <w:t>…», аналогично «</w:t>
      </w:r>
      <w:r w:rsidRPr="00186E91">
        <w:rPr>
          <w:i/>
          <w:kern w:val="1"/>
          <w:sz w:val="24"/>
          <w:szCs w:val="24"/>
          <w:lang w:eastAsia="fa-IR" w:bidi="fa-IR"/>
        </w:rPr>
        <w:t xml:space="preserve">решение исполнителя об одностороннем отказе от исполнения контракта в </w:t>
      </w:r>
      <w:r w:rsidRPr="00186E91">
        <w:rPr>
          <w:i/>
          <w:kern w:val="1"/>
          <w:sz w:val="24"/>
          <w:szCs w:val="24"/>
          <w:u w:val="single"/>
          <w:lang w:eastAsia="fa-IR" w:bidi="fa-IR"/>
        </w:rPr>
        <w:t>течении одного рабочего дня, следующего за датой принятия такого решения</w:t>
      </w:r>
      <w:r w:rsidRPr="00186E91">
        <w:rPr>
          <w:i/>
          <w:kern w:val="1"/>
          <w:sz w:val="24"/>
          <w:szCs w:val="24"/>
          <w:lang w:eastAsia="fa-IR" w:bidi="fa-IR"/>
        </w:rPr>
        <w:t>, размещается на официальном сайте…»</w:t>
      </w:r>
      <w:r w:rsidRPr="00186E91">
        <w:rPr>
          <w:kern w:val="1"/>
          <w:sz w:val="24"/>
          <w:szCs w:val="24"/>
          <w:lang w:eastAsia="fa-IR" w:bidi="fa-IR"/>
        </w:rPr>
        <w:t>.</w:t>
      </w:r>
    </w:p>
    <w:p w:rsidR="00085651" w:rsidRPr="00186E91" w:rsidRDefault="00085651" w:rsidP="00085651">
      <w:pPr>
        <w:widowControl w:val="0"/>
        <w:suppressAutoHyphens/>
        <w:ind w:firstLine="709"/>
        <w:jc w:val="both"/>
        <w:textAlignment w:val="baseline"/>
        <w:rPr>
          <w:kern w:val="1"/>
          <w:sz w:val="24"/>
          <w:szCs w:val="24"/>
          <w:lang w:eastAsia="fa-IR" w:bidi="fa-IR"/>
        </w:rPr>
      </w:pPr>
      <w:r w:rsidRPr="00186E91">
        <w:rPr>
          <w:kern w:val="1"/>
          <w:sz w:val="24"/>
          <w:szCs w:val="24"/>
          <w:lang w:eastAsia="fa-IR" w:bidi="fa-IR"/>
        </w:rPr>
        <w:t>в нарушение  ч.2 п.5 Приказа от 31.03.2015 № 7н в План-графике на 2016 год размещение заказа под № 42 «Поставка радиостанции УКВ для нужд ЕДДС Администрации Каратузского района» в столбце 1 не верно указан КБК 90103092210022020244, в соответствии с извещением  о проведении электронного аукциона для закупки №  0119300020716000039 и конкурсной документации об электронном аукционе источник финансирования мероприяти</w:t>
      </w:r>
      <w:proofErr w:type="gramStart"/>
      <w:r w:rsidRPr="00186E91">
        <w:rPr>
          <w:kern w:val="1"/>
          <w:sz w:val="24"/>
          <w:szCs w:val="24"/>
          <w:lang w:eastAsia="fa-IR" w:bidi="fa-IR"/>
        </w:rPr>
        <w:t>я-</w:t>
      </w:r>
      <w:proofErr w:type="gramEnd"/>
      <w:r w:rsidRPr="00186E91">
        <w:rPr>
          <w:kern w:val="1"/>
          <w:sz w:val="24"/>
          <w:szCs w:val="24"/>
          <w:lang w:eastAsia="fa-IR" w:bidi="fa-IR"/>
        </w:rPr>
        <w:t xml:space="preserve"> краевой бюджет или 90103092210074130244.  Кроме того, не заполнен столбец 14 Плана-графика на 2016 год «Обоснование внесение изменений»;</w:t>
      </w:r>
    </w:p>
    <w:p w:rsidR="00085651" w:rsidRPr="00186E91" w:rsidRDefault="00085651" w:rsidP="00085651">
      <w:pPr>
        <w:widowControl w:val="0"/>
        <w:suppressAutoHyphens/>
        <w:ind w:firstLine="709"/>
        <w:jc w:val="both"/>
        <w:textAlignment w:val="baseline"/>
        <w:rPr>
          <w:kern w:val="1"/>
          <w:sz w:val="24"/>
          <w:szCs w:val="24"/>
          <w:lang w:eastAsia="fa-IR" w:bidi="fa-IR"/>
        </w:rPr>
      </w:pPr>
      <w:r w:rsidRPr="00186E91">
        <w:rPr>
          <w:kern w:val="1"/>
          <w:sz w:val="24"/>
          <w:szCs w:val="24"/>
          <w:lang w:eastAsia="fa-IR" w:bidi="fa-IR"/>
        </w:rPr>
        <w:t>отсутствует заполнение столбца «Обоснование внесение изменений» размещение заказов под № 40 «Поставка оборудования для системы оповещения руководящего состава ЕДДС Администрации Каратузского района» и  № 41 «Поставка бензинового генератора для нужд ЕДДС Администрации Каратузского района»;</w:t>
      </w:r>
    </w:p>
    <w:p w:rsidR="00085651" w:rsidRPr="00186E91" w:rsidRDefault="00085651" w:rsidP="00085651">
      <w:pPr>
        <w:widowControl w:val="0"/>
        <w:suppressAutoHyphens/>
        <w:ind w:firstLine="709"/>
        <w:jc w:val="both"/>
        <w:textAlignment w:val="baseline"/>
        <w:rPr>
          <w:kern w:val="1"/>
          <w:sz w:val="24"/>
          <w:szCs w:val="24"/>
          <w:lang w:eastAsia="fa-IR" w:bidi="fa-IR"/>
        </w:rPr>
      </w:pPr>
      <w:r w:rsidRPr="00186E91">
        <w:rPr>
          <w:kern w:val="1"/>
          <w:sz w:val="24"/>
          <w:szCs w:val="24"/>
          <w:lang w:eastAsia="fa-IR" w:bidi="fa-IR"/>
        </w:rPr>
        <w:t>По результатам проверки заработной платы специалистам ЕДДС:</w:t>
      </w:r>
    </w:p>
    <w:p w:rsidR="00085651" w:rsidRPr="00186E91" w:rsidRDefault="00085651" w:rsidP="00085651">
      <w:pPr>
        <w:pStyle w:val="a3"/>
        <w:ind w:firstLine="567"/>
        <w:jc w:val="both"/>
        <w:rPr>
          <w:sz w:val="24"/>
          <w:szCs w:val="24"/>
        </w:rPr>
      </w:pPr>
      <w:r w:rsidRPr="00186E91">
        <w:rPr>
          <w:sz w:val="24"/>
          <w:szCs w:val="24"/>
        </w:rPr>
        <w:t>в Положении об оплате труда отсутствуют показатели и критерии оценки показателей к выплатам стимулирующего характера, в том числе «</w:t>
      </w:r>
      <w:r w:rsidRPr="00186E91">
        <w:rPr>
          <w:i/>
          <w:sz w:val="24"/>
          <w:szCs w:val="24"/>
        </w:rPr>
        <w:t>персональная выплата  работникам за сложность, напряженность и особый режим работы</w:t>
      </w:r>
      <w:r w:rsidRPr="00186E91">
        <w:rPr>
          <w:sz w:val="24"/>
          <w:szCs w:val="24"/>
        </w:rPr>
        <w:t>», «</w:t>
      </w:r>
      <w:r w:rsidRPr="00186E91">
        <w:rPr>
          <w:i/>
          <w:sz w:val="24"/>
          <w:szCs w:val="24"/>
        </w:rPr>
        <w:t>выплаты за качество выполняемых работ</w:t>
      </w:r>
      <w:r w:rsidRPr="00186E91">
        <w:rPr>
          <w:sz w:val="24"/>
          <w:szCs w:val="24"/>
        </w:rPr>
        <w:t>», «</w:t>
      </w:r>
      <w:r w:rsidRPr="00186E91">
        <w:rPr>
          <w:i/>
          <w:sz w:val="24"/>
          <w:szCs w:val="24"/>
        </w:rPr>
        <w:t>выплаты по итогам работы</w:t>
      </w:r>
      <w:r w:rsidRPr="00186E91">
        <w:rPr>
          <w:sz w:val="24"/>
          <w:szCs w:val="24"/>
        </w:rPr>
        <w:t>»;</w:t>
      </w:r>
    </w:p>
    <w:p w:rsidR="00085651" w:rsidRPr="00186E91" w:rsidRDefault="00085651" w:rsidP="00085651">
      <w:pPr>
        <w:pStyle w:val="a3"/>
        <w:ind w:firstLine="567"/>
        <w:jc w:val="both"/>
        <w:rPr>
          <w:sz w:val="24"/>
          <w:szCs w:val="24"/>
        </w:rPr>
      </w:pPr>
      <w:r w:rsidRPr="00186E91">
        <w:rPr>
          <w:sz w:val="24"/>
          <w:szCs w:val="24"/>
        </w:rPr>
        <w:t>в приложении № 2 к Положению  об оплате труда отсутствует графа «показатели результативности»,  сами показатели отражены в графе  «критерии оценки результативности и качества деятельности учреждения», а критерии оценки показателей  отражены в графе «периодичность оценки для ежемесячного установления выплат»;</w:t>
      </w:r>
    </w:p>
    <w:p w:rsidR="00085651" w:rsidRPr="00186E91" w:rsidRDefault="00085651" w:rsidP="00085651">
      <w:pPr>
        <w:pStyle w:val="a3"/>
        <w:ind w:firstLine="567"/>
        <w:jc w:val="both"/>
        <w:rPr>
          <w:sz w:val="24"/>
          <w:szCs w:val="24"/>
        </w:rPr>
      </w:pPr>
      <w:r w:rsidRPr="00186E91">
        <w:rPr>
          <w:sz w:val="24"/>
          <w:szCs w:val="24"/>
        </w:rPr>
        <w:t>в Положении об оплате труда не указано, что размер стимулирующих выплат  осуществляется с учетом либо без учета районного коэффициента и северной надбавки. Также  и в распоряжениях администрации Каратузского района  по определению количества баллов по работникам за 2015 год, не отражено, что  стоимость 1 балла (39,52 руб.) с учетом или без учета районного коэффициента и  северной надбавки;</w:t>
      </w:r>
    </w:p>
    <w:p w:rsidR="00085651" w:rsidRPr="00186E91" w:rsidRDefault="00085651" w:rsidP="00085651">
      <w:pPr>
        <w:pStyle w:val="a3"/>
        <w:ind w:firstLine="567"/>
        <w:jc w:val="both"/>
        <w:rPr>
          <w:sz w:val="24"/>
          <w:szCs w:val="24"/>
        </w:rPr>
      </w:pPr>
      <w:r w:rsidRPr="00186E91">
        <w:rPr>
          <w:sz w:val="24"/>
          <w:szCs w:val="24"/>
        </w:rPr>
        <w:t>в нарушение  п.4.1 Положения об оплате труда  неправомерно начислена заработная плата руководителю ЕДДС, принятому с 23.05.2016 (распоряжение администрации Каратузского района от 23.05.2016 № 53-рп) за особые условия труда  в сумме  2 513,52 рублей</w:t>
      </w:r>
      <w:r w:rsidR="00223AB4">
        <w:rPr>
          <w:sz w:val="24"/>
          <w:szCs w:val="24"/>
        </w:rPr>
        <w:t xml:space="preserve"> (в Положении об оплате труда данный показатель не предусмотрен к должности руководитель);</w:t>
      </w:r>
    </w:p>
    <w:p w:rsidR="00085651" w:rsidRPr="00186E91" w:rsidRDefault="00085651" w:rsidP="00085651">
      <w:pPr>
        <w:pStyle w:val="a3"/>
        <w:ind w:firstLine="567"/>
        <w:jc w:val="both"/>
        <w:rPr>
          <w:rFonts w:eastAsia="Calibri"/>
          <w:sz w:val="24"/>
          <w:szCs w:val="24"/>
        </w:rPr>
      </w:pPr>
      <w:r w:rsidRPr="00186E91">
        <w:rPr>
          <w:sz w:val="24"/>
          <w:szCs w:val="24"/>
        </w:rPr>
        <w:t xml:space="preserve"> в нарушение ст. 68 ТК РФ  содержание распоряжения о приеме руководителя ЕДДС не соответствует </w:t>
      </w:r>
      <w:r w:rsidRPr="00186E91">
        <w:rPr>
          <w:rFonts w:eastAsia="Calibri"/>
          <w:sz w:val="24"/>
          <w:szCs w:val="24"/>
        </w:rPr>
        <w:t xml:space="preserve"> условиям заключенного трудового договора (отсутствуют условия оплаты труда (в том числе размер должностного оклада, доплаты и надбавки);</w:t>
      </w:r>
    </w:p>
    <w:p w:rsidR="00085651" w:rsidRPr="00186E91" w:rsidRDefault="00085651" w:rsidP="00085651">
      <w:pPr>
        <w:pStyle w:val="ConsPlusNormal"/>
        <w:ind w:firstLine="540"/>
        <w:jc w:val="both"/>
        <w:rPr>
          <w:rFonts w:ascii="Times New Roman" w:hAnsi="Times New Roman" w:cs="Times New Roman"/>
          <w:sz w:val="24"/>
          <w:szCs w:val="24"/>
        </w:rPr>
      </w:pPr>
      <w:r w:rsidRPr="00186E91">
        <w:rPr>
          <w:rFonts w:ascii="Times New Roman" w:hAnsi="Times New Roman" w:cs="Times New Roman"/>
          <w:sz w:val="24"/>
          <w:szCs w:val="24"/>
        </w:rPr>
        <w:t>в нарушение ст. 153 ТК РФ за 1 полугодие 2015 год работникам не производилась доплата за работу в</w:t>
      </w:r>
      <w:r w:rsidRPr="00186E91">
        <w:rPr>
          <w:rFonts w:ascii="Times New Roman" w:eastAsia="Calibri" w:hAnsi="Times New Roman" w:cs="Times New Roman"/>
          <w:bCs/>
          <w:sz w:val="24"/>
          <w:szCs w:val="24"/>
        </w:rPr>
        <w:t xml:space="preserve"> </w:t>
      </w:r>
      <w:hyperlink r:id="rId5" w:history="1">
        <w:r w:rsidRPr="00186E91">
          <w:rPr>
            <w:rFonts w:ascii="Times New Roman" w:eastAsia="Calibri" w:hAnsi="Times New Roman" w:cs="Times New Roman"/>
            <w:bCs/>
            <w:sz w:val="24"/>
            <w:szCs w:val="24"/>
          </w:rPr>
          <w:t>нерабочие праздничные дни</w:t>
        </w:r>
      </w:hyperlink>
      <w:r w:rsidRPr="00186E91">
        <w:rPr>
          <w:rFonts w:ascii="Times New Roman" w:eastAsia="Calibri" w:hAnsi="Times New Roman" w:cs="Times New Roman"/>
          <w:bCs/>
          <w:sz w:val="24"/>
          <w:szCs w:val="24"/>
        </w:rPr>
        <w:t xml:space="preserve"> в двойном размере</w:t>
      </w:r>
      <w:r>
        <w:rPr>
          <w:rFonts w:ascii="Times New Roman" w:hAnsi="Times New Roman" w:cs="Times New Roman"/>
          <w:sz w:val="24"/>
          <w:szCs w:val="24"/>
        </w:rPr>
        <w:t>;</w:t>
      </w:r>
    </w:p>
    <w:p w:rsidR="00085651" w:rsidRPr="00186E91" w:rsidRDefault="00085651" w:rsidP="00085651">
      <w:pPr>
        <w:pStyle w:val="ConsPlusNormal"/>
        <w:ind w:firstLine="540"/>
        <w:jc w:val="both"/>
        <w:rPr>
          <w:rFonts w:ascii="Times New Roman" w:hAnsi="Times New Roman" w:cs="Times New Roman"/>
          <w:sz w:val="24"/>
          <w:szCs w:val="24"/>
        </w:rPr>
      </w:pPr>
      <w:r w:rsidRPr="00186E91">
        <w:rPr>
          <w:rFonts w:ascii="Times New Roman" w:hAnsi="Times New Roman" w:cs="Times New Roman"/>
          <w:sz w:val="24"/>
          <w:szCs w:val="24"/>
        </w:rPr>
        <w:t xml:space="preserve">в нарушение п.3.4 Положения об оплате труда в январе 2015 года начислена доплата за работу в ночное время более 25%,  в марте, августе </w:t>
      </w:r>
      <w:r>
        <w:rPr>
          <w:rFonts w:ascii="Times New Roman" w:hAnsi="Times New Roman" w:cs="Times New Roman"/>
          <w:sz w:val="24"/>
          <w:szCs w:val="24"/>
        </w:rPr>
        <w:t>и сентябрь 2015 года  менее 25%;</w:t>
      </w:r>
    </w:p>
    <w:p w:rsidR="00085651" w:rsidRPr="00186E91" w:rsidRDefault="00085651" w:rsidP="00085651">
      <w:pPr>
        <w:pStyle w:val="ConsPlusNormal"/>
        <w:ind w:firstLine="540"/>
        <w:jc w:val="both"/>
        <w:rPr>
          <w:rFonts w:ascii="Times New Roman" w:hAnsi="Times New Roman" w:cs="Times New Roman"/>
          <w:sz w:val="24"/>
          <w:szCs w:val="24"/>
        </w:rPr>
      </w:pPr>
      <w:r w:rsidRPr="00186E91">
        <w:rPr>
          <w:rFonts w:ascii="Times New Roman" w:hAnsi="Times New Roman" w:cs="Times New Roman"/>
          <w:sz w:val="24"/>
          <w:szCs w:val="24"/>
        </w:rPr>
        <w:t xml:space="preserve">в феврале 2016 года работнику Антонович  В.А. начислена заработная плата за 24 часа, фактически </w:t>
      </w:r>
      <w:proofErr w:type="gramStart"/>
      <w:r w:rsidRPr="00186E91">
        <w:rPr>
          <w:rFonts w:ascii="Times New Roman" w:hAnsi="Times New Roman" w:cs="Times New Roman"/>
          <w:sz w:val="24"/>
          <w:szCs w:val="24"/>
        </w:rPr>
        <w:t>согласно табеля</w:t>
      </w:r>
      <w:proofErr w:type="gramEnd"/>
      <w:r w:rsidRPr="00186E91">
        <w:rPr>
          <w:rFonts w:ascii="Times New Roman" w:hAnsi="Times New Roman" w:cs="Times New Roman"/>
          <w:sz w:val="24"/>
          <w:szCs w:val="24"/>
        </w:rPr>
        <w:t xml:space="preserve"> учета  работник отработал 1</w:t>
      </w:r>
      <w:r>
        <w:rPr>
          <w:rFonts w:ascii="Times New Roman" w:hAnsi="Times New Roman" w:cs="Times New Roman"/>
          <w:sz w:val="24"/>
          <w:szCs w:val="24"/>
        </w:rPr>
        <w:t>2 часов;</w:t>
      </w:r>
    </w:p>
    <w:p w:rsidR="00085651" w:rsidRDefault="00085651" w:rsidP="00085651">
      <w:pPr>
        <w:pStyle w:val="ConsPlusNormal"/>
        <w:ind w:firstLine="540"/>
        <w:jc w:val="both"/>
        <w:rPr>
          <w:rFonts w:ascii="Times New Roman" w:hAnsi="Times New Roman" w:cs="Times New Roman"/>
          <w:sz w:val="24"/>
          <w:szCs w:val="24"/>
        </w:rPr>
      </w:pPr>
      <w:r w:rsidRPr="00186E91">
        <w:rPr>
          <w:rFonts w:ascii="Times New Roman" w:hAnsi="Times New Roman" w:cs="Times New Roman"/>
          <w:sz w:val="24"/>
          <w:szCs w:val="24"/>
        </w:rPr>
        <w:lastRenderedPageBreak/>
        <w:t>в июне 2016 года при начислении заработной платы  работнику Феденко  А.А. начисление заработной платы производилась из расчета 40- часовой  недели, вместо 36- часовой недели (</w:t>
      </w:r>
      <w:r w:rsidRPr="00186E91">
        <w:rPr>
          <w:rFonts w:ascii="Times New Roman" w:hAnsi="Times New Roman" w:cs="Times New Roman"/>
          <w:i/>
          <w:sz w:val="24"/>
          <w:szCs w:val="24"/>
        </w:rPr>
        <w:t>устранено в ходе проведения проверки</w:t>
      </w:r>
      <w:r>
        <w:rPr>
          <w:rFonts w:ascii="Times New Roman" w:hAnsi="Times New Roman" w:cs="Times New Roman"/>
          <w:sz w:val="24"/>
          <w:szCs w:val="24"/>
        </w:rPr>
        <w:t>);</w:t>
      </w:r>
    </w:p>
    <w:p w:rsidR="00085651" w:rsidRPr="00566A76" w:rsidRDefault="00085651" w:rsidP="00085651">
      <w:pPr>
        <w:pStyle w:val="a3"/>
        <w:ind w:firstLine="567"/>
        <w:jc w:val="both"/>
        <w:rPr>
          <w:sz w:val="24"/>
          <w:szCs w:val="24"/>
        </w:rPr>
      </w:pPr>
      <w:r w:rsidRPr="00566A76">
        <w:rPr>
          <w:sz w:val="24"/>
          <w:szCs w:val="24"/>
        </w:rPr>
        <w:t>установлены нарушения по заработной плате  в сумме 17 057,87 рублей, в том числе недоначислена заработной платы работникам  в сумме 16 127,84  рублей и излишне начислена зарабо</w:t>
      </w:r>
      <w:r w:rsidR="007A5F4C">
        <w:rPr>
          <w:sz w:val="24"/>
          <w:szCs w:val="24"/>
        </w:rPr>
        <w:t>тная плата в сумме 930,03 рубля</w:t>
      </w:r>
      <w:r w:rsidRPr="00566A76">
        <w:rPr>
          <w:sz w:val="24"/>
          <w:szCs w:val="24"/>
        </w:rPr>
        <w:t>;</w:t>
      </w:r>
    </w:p>
    <w:p w:rsidR="00085651" w:rsidRPr="00186E91" w:rsidRDefault="00085651" w:rsidP="00085651">
      <w:pPr>
        <w:pStyle w:val="a3"/>
        <w:ind w:firstLine="567"/>
        <w:jc w:val="both"/>
        <w:rPr>
          <w:sz w:val="24"/>
          <w:szCs w:val="24"/>
        </w:rPr>
      </w:pPr>
      <w:r w:rsidRPr="00566A76">
        <w:rPr>
          <w:sz w:val="24"/>
          <w:szCs w:val="24"/>
        </w:rPr>
        <w:t>установлены нарушения по заработной плате по начислению выплат за работу в сельской местности, не предусмотренные Положением об оплате труда в сумме 123 534,56 рублей.</w:t>
      </w:r>
    </w:p>
    <w:p w:rsidR="00270122" w:rsidRPr="00266490" w:rsidRDefault="00FA20E8" w:rsidP="00266490">
      <w:pPr>
        <w:ind w:firstLine="567"/>
        <w:jc w:val="both"/>
        <w:rPr>
          <w:sz w:val="24"/>
          <w:szCs w:val="24"/>
        </w:rPr>
      </w:pPr>
      <w:r w:rsidRPr="00FA20E8">
        <w:rPr>
          <w:b/>
          <w:sz w:val="24"/>
          <w:szCs w:val="24"/>
        </w:rPr>
        <w:t>6.2.</w:t>
      </w:r>
      <w:r>
        <w:rPr>
          <w:sz w:val="24"/>
          <w:szCs w:val="24"/>
        </w:rPr>
        <w:t xml:space="preserve"> </w:t>
      </w:r>
      <w:r w:rsidR="00270122" w:rsidRPr="00266490">
        <w:rPr>
          <w:sz w:val="24"/>
          <w:szCs w:val="24"/>
        </w:rPr>
        <w:t>В рамках контрольного мероприятия в ходе  проверки целевого расходования бюджетных средств, выделенных на реализацию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установлено следующее:</w:t>
      </w:r>
    </w:p>
    <w:p w:rsidR="00270122" w:rsidRPr="00266490" w:rsidRDefault="00270122" w:rsidP="00266490">
      <w:pPr>
        <w:ind w:firstLine="567"/>
        <w:jc w:val="both"/>
        <w:rPr>
          <w:sz w:val="24"/>
          <w:szCs w:val="24"/>
        </w:rPr>
      </w:pPr>
      <w:r w:rsidRPr="00266490">
        <w:rPr>
          <w:sz w:val="24"/>
          <w:szCs w:val="24"/>
        </w:rPr>
        <w:t xml:space="preserve">в нарушение ст. 179  БК РФ объем финансирования муниципальной программы  в 2015 году в сумме 183,9 тыс. рублей не соответствует  уточненному плану,  предусмотренному на выполнение программных мероприятий  в сумме 159,5 тыс. рублей, согласно ведомственной структуре расходов бюджета Каратузского сельсовета на 2015 год;  </w:t>
      </w:r>
    </w:p>
    <w:p w:rsidR="00270122" w:rsidRPr="00266490" w:rsidRDefault="00270122" w:rsidP="00266490">
      <w:pPr>
        <w:ind w:firstLine="567"/>
        <w:jc w:val="both"/>
        <w:rPr>
          <w:sz w:val="24"/>
          <w:szCs w:val="24"/>
        </w:rPr>
      </w:pPr>
      <w:r w:rsidRPr="00266490">
        <w:rPr>
          <w:sz w:val="24"/>
          <w:szCs w:val="24"/>
        </w:rPr>
        <w:t>в нарушение ст. 179  БК РФ фактическое исполнение по муниципальной программе за 2015 год составило  в сумме 159,5 тыс. рублей или 100% к уточненному плану  не соответствует объему сре</w:t>
      </w:r>
      <w:proofErr w:type="gramStart"/>
      <w:r w:rsidRPr="00266490">
        <w:rPr>
          <w:sz w:val="24"/>
          <w:szCs w:val="24"/>
        </w:rPr>
        <w:t>дств в с</w:t>
      </w:r>
      <w:proofErr w:type="gramEnd"/>
      <w:r w:rsidRPr="00266490">
        <w:rPr>
          <w:sz w:val="24"/>
          <w:szCs w:val="24"/>
        </w:rPr>
        <w:t>умме 154,7 тыс. рублей или 97,0%, согласно ведомственной структуре расходов бюджета Каратузского сельсовета на 2015 год;</w:t>
      </w:r>
    </w:p>
    <w:p w:rsidR="00270122" w:rsidRPr="00266490" w:rsidRDefault="00270122" w:rsidP="00266490">
      <w:pPr>
        <w:ind w:firstLine="567"/>
        <w:jc w:val="both"/>
        <w:rPr>
          <w:sz w:val="24"/>
          <w:szCs w:val="24"/>
        </w:rPr>
      </w:pPr>
      <w:r w:rsidRPr="00266490">
        <w:rPr>
          <w:sz w:val="24"/>
          <w:szCs w:val="24"/>
        </w:rPr>
        <w:t>в нарушение ст. 179 БК РФ в 2015 году  на добровольное медицинское страхование по программе «</w:t>
      </w:r>
      <w:proofErr w:type="spellStart"/>
      <w:r w:rsidRPr="00266490">
        <w:rPr>
          <w:sz w:val="24"/>
          <w:szCs w:val="24"/>
        </w:rPr>
        <w:t>Антиклещ</w:t>
      </w:r>
      <w:proofErr w:type="spellEnd"/>
      <w:r w:rsidRPr="00266490">
        <w:rPr>
          <w:sz w:val="24"/>
          <w:szCs w:val="24"/>
        </w:rPr>
        <w:t>» добровольных пожарных дружин муниципальной программой предусмотрено 4,2 тыс. рублей фактически использовано средств 4,8 тыс. рублей;</w:t>
      </w:r>
    </w:p>
    <w:p w:rsidR="00270122" w:rsidRPr="00266490" w:rsidRDefault="00270122" w:rsidP="00266490">
      <w:pPr>
        <w:ind w:firstLine="567"/>
        <w:jc w:val="both"/>
        <w:rPr>
          <w:sz w:val="24"/>
          <w:szCs w:val="24"/>
        </w:rPr>
      </w:pPr>
      <w:r w:rsidRPr="00266490">
        <w:rPr>
          <w:sz w:val="24"/>
          <w:szCs w:val="24"/>
        </w:rPr>
        <w:t>неправомерно выплачены средства на материальное стимулирование добровольных пожарных  в сумме 23,4 тыс. рублей</w:t>
      </w:r>
      <w:r w:rsidR="00FA20E8">
        <w:rPr>
          <w:sz w:val="24"/>
          <w:szCs w:val="24"/>
        </w:rPr>
        <w:t xml:space="preserve"> (средства выплачены добровольным </w:t>
      </w:r>
      <w:proofErr w:type="gramStart"/>
      <w:r w:rsidR="00FA20E8">
        <w:rPr>
          <w:sz w:val="24"/>
          <w:szCs w:val="24"/>
        </w:rPr>
        <w:t>пожарным</w:t>
      </w:r>
      <w:proofErr w:type="gramEnd"/>
      <w:r w:rsidR="00FA20E8">
        <w:rPr>
          <w:sz w:val="24"/>
          <w:szCs w:val="24"/>
        </w:rPr>
        <w:t xml:space="preserve"> не зарегистрированны</w:t>
      </w:r>
      <w:r w:rsidR="007A5F4C">
        <w:rPr>
          <w:sz w:val="24"/>
          <w:szCs w:val="24"/>
        </w:rPr>
        <w:t>м</w:t>
      </w:r>
      <w:r w:rsidR="00FA20E8">
        <w:rPr>
          <w:sz w:val="24"/>
          <w:szCs w:val="24"/>
        </w:rPr>
        <w:t xml:space="preserve"> а реестре </w:t>
      </w:r>
      <w:r w:rsidR="007A5F4C" w:rsidRPr="00186E91">
        <w:rPr>
          <w:kern w:val="1"/>
          <w:sz w:val="24"/>
          <w:szCs w:val="24"/>
          <w:lang w:eastAsia="ar-SA"/>
        </w:rPr>
        <w:t>общественных объединений пожарной охраны МЧС России по Красноярскому краю по Каратузскому району</w:t>
      </w:r>
      <w:r w:rsidR="007A5F4C">
        <w:rPr>
          <w:kern w:val="1"/>
          <w:sz w:val="24"/>
          <w:szCs w:val="24"/>
          <w:lang w:eastAsia="ar-SA"/>
        </w:rPr>
        <w:t>)</w:t>
      </w:r>
      <w:r w:rsidRPr="00266490">
        <w:rPr>
          <w:sz w:val="24"/>
          <w:szCs w:val="24"/>
        </w:rPr>
        <w:t>;</w:t>
      </w:r>
    </w:p>
    <w:p w:rsidR="00270122" w:rsidRDefault="00270122" w:rsidP="00266490">
      <w:pPr>
        <w:ind w:firstLine="567"/>
        <w:jc w:val="both"/>
        <w:rPr>
          <w:sz w:val="24"/>
          <w:szCs w:val="24"/>
        </w:rPr>
      </w:pPr>
      <w:r w:rsidRPr="00266490">
        <w:rPr>
          <w:sz w:val="24"/>
          <w:szCs w:val="24"/>
        </w:rPr>
        <w:t>установлена недостоверность  определения муниципальной программы оценки эффективности.</w:t>
      </w:r>
    </w:p>
    <w:p w:rsidR="007A5F4C" w:rsidRPr="00266490" w:rsidRDefault="007A5F4C" w:rsidP="003F7C37">
      <w:pPr>
        <w:ind w:firstLine="567"/>
        <w:jc w:val="both"/>
        <w:rPr>
          <w:sz w:val="24"/>
          <w:szCs w:val="24"/>
        </w:rPr>
      </w:pPr>
      <w:r>
        <w:rPr>
          <w:sz w:val="24"/>
          <w:szCs w:val="24"/>
        </w:rPr>
        <w:t xml:space="preserve">В 2016 году </w:t>
      </w:r>
      <w:r w:rsidR="00972CAC">
        <w:rPr>
          <w:sz w:val="24"/>
          <w:szCs w:val="24"/>
        </w:rPr>
        <w:t xml:space="preserve"> </w:t>
      </w:r>
      <w:r w:rsidR="00EA72B2">
        <w:rPr>
          <w:sz w:val="24"/>
          <w:szCs w:val="24"/>
        </w:rPr>
        <w:t xml:space="preserve"> в рамках государственной программы Красноярского края </w:t>
      </w:r>
      <w:r w:rsidR="00EA72B2" w:rsidRPr="00EA72B2">
        <w:rPr>
          <w:sz w:val="24"/>
          <w:szCs w:val="24"/>
        </w:rPr>
        <w:t xml:space="preserve">«Защита от чрезвычайных ситуаций природного и техногенного характера и обеспечение безопасности населения Красноярского края» </w:t>
      </w:r>
      <w:r w:rsidR="00972CAC">
        <w:rPr>
          <w:sz w:val="24"/>
          <w:szCs w:val="24"/>
        </w:rPr>
        <w:t xml:space="preserve">выделены краевые субсидии </w:t>
      </w:r>
      <w:r>
        <w:rPr>
          <w:sz w:val="24"/>
          <w:szCs w:val="24"/>
        </w:rPr>
        <w:t xml:space="preserve">на приобретение противопожарного оборудования  </w:t>
      </w:r>
      <w:r w:rsidR="00EA72B2">
        <w:rPr>
          <w:sz w:val="24"/>
          <w:szCs w:val="24"/>
        </w:rPr>
        <w:t xml:space="preserve">району в сумме 326,0 тыс. рублей и </w:t>
      </w:r>
      <w:r>
        <w:rPr>
          <w:sz w:val="24"/>
          <w:szCs w:val="24"/>
        </w:rPr>
        <w:t>поселениям района</w:t>
      </w:r>
      <w:r w:rsidR="00EA72B2">
        <w:rPr>
          <w:sz w:val="24"/>
          <w:szCs w:val="24"/>
        </w:rPr>
        <w:t xml:space="preserve"> в сумме 350,5 тыс. рублей (Каратузский сельсовете- 165,31 тыс. рублей). На момент проведения контрольного мероприятия исполнение по субсидиям составило 0%, в связи с чем</w:t>
      </w:r>
      <w:r w:rsidR="003F7C37">
        <w:rPr>
          <w:sz w:val="24"/>
          <w:szCs w:val="24"/>
        </w:rPr>
        <w:t>,</w:t>
      </w:r>
      <w:r w:rsidR="00EA72B2">
        <w:rPr>
          <w:sz w:val="24"/>
          <w:szCs w:val="24"/>
        </w:rPr>
        <w:t xml:space="preserve"> в октябре месяце</w:t>
      </w:r>
      <w:r w:rsidR="003F7C37">
        <w:rPr>
          <w:sz w:val="24"/>
          <w:szCs w:val="24"/>
        </w:rPr>
        <w:t xml:space="preserve"> будет проведена проверка фактически приобретенного оборудования и соответствие его перечню оборудования определенного государственной программой края.</w:t>
      </w:r>
    </w:p>
    <w:p w:rsidR="00270122" w:rsidRPr="000D0599" w:rsidRDefault="00270122" w:rsidP="000D0599">
      <w:pPr>
        <w:ind w:firstLine="567"/>
        <w:jc w:val="both"/>
        <w:rPr>
          <w:sz w:val="24"/>
          <w:szCs w:val="24"/>
        </w:rPr>
      </w:pPr>
      <w:r w:rsidRPr="000D0599">
        <w:rPr>
          <w:sz w:val="24"/>
          <w:szCs w:val="24"/>
        </w:rPr>
        <w:t>Акт</w:t>
      </w:r>
      <w:r w:rsidR="000D0599" w:rsidRPr="000D0599">
        <w:rPr>
          <w:sz w:val="24"/>
          <w:szCs w:val="24"/>
        </w:rPr>
        <w:t>ы</w:t>
      </w:r>
      <w:r w:rsidRPr="000D0599">
        <w:rPr>
          <w:sz w:val="24"/>
          <w:szCs w:val="24"/>
        </w:rPr>
        <w:t xml:space="preserve"> провер</w:t>
      </w:r>
      <w:r w:rsidR="000D0599" w:rsidRPr="000D0599">
        <w:rPr>
          <w:sz w:val="24"/>
          <w:szCs w:val="24"/>
        </w:rPr>
        <w:t>о</w:t>
      </w:r>
      <w:r w:rsidRPr="000D0599">
        <w:rPr>
          <w:sz w:val="24"/>
          <w:szCs w:val="24"/>
        </w:rPr>
        <w:t>к направ</w:t>
      </w:r>
      <w:r w:rsidR="000D0599" w:rsidRPr="000D0599">
        <w:rPr>
          <w:sz w:val="24"/>
          <w:szCs w:val="24"/>
        </w:rPr>
        <w:t>лены</w:t>
      </w:r>
      <w:r w:rsidRPr="000D0599">
        <w:rPr>
          <w:sz w:val="24"/>
          <w:szCs w:val="24"/>
        </w:rPr>
        <w:t xml:space="preserve"> в </w:t>
      </w:r>
      <w:r w:rsidR="000D0599" w:rsidRPr="000D0599">
        <w:rPr>
          <w:sz w:val="24"/>
          <w:szCs w:val="24"/>
        </w:rPr>
        <w:t xml:space="preserve"> администрацию Каратузского района и </w:t>
      </w:r>
      <w:r w:rsidRPr="000D0599">
        <w:rPr>
          <w:sz w:val="24"/>
          <w:szCs w:val="24"/>
        </w:rPr>
        <w:t>администрацию Каратузского сельсовета.</w:t>
      </w:r>
    </w:p>
    <w:p w:rsidR="00270122" w:rsidRPr="000D0599" w:rsidRDefault="00270122" w:rsidP="000D0599">
      <w:pPr>
        <w:ind w:firstLine="567"/>
        <w:jc w:val="both"/>
        <w:rPr>
          <w:sz w:val="24"/>
          <w:szCs w:val="24"/>
        </w:rPr>
      </w:pPr>
      <w:r w:rsidRPr="000D0599">
        <w:rPr>
          <w:sz w:val="24"/>
          <w:szCs w:val="24"/>
        </w:rPr>
        <w:t>Отчет по результатам проверки направ</w:t>
      </w:r>
      <w:r w:rsidR="000D0599">
        <w:rPr>
          <w:sz w:val="24"/>
          <w:szCs w:val="24"/>
        </w:rPr>
        <w:t>лен</w:t>
      </w:r>
      <w:r w:rsidRPr="000D0599">
        <w:rPr>
          <w:sz w:val="24"/>
          <w:szCs w:val="24"/>
        </w:rPr>
        <w:t xml:space="preserve"> в Каратузский районный Совет депутатов и прокуратуру Каратузского района.</w:t>
      </w:r>
    </w:p>
    <w:p w:rsidR="00270122" w:rsidRPr="000D0599" w:rsidRDefault="007A5F4C" w:rsidP="000D0599">
      <w:pPr>
        <w:jc w:val="both"/>
        <w:rPr>
          <w:sz w:val="24"/>
          <w:szCs w:val="24"/>
        </w:rPr>
      </w:pPr>
      <w:r>
        <w:rPr>
          <w:sz w:val="24"/>
          <w:szCs w:val="24"/>
        </w:rPr>
        <w:tab/>
      </w:r>
    </w:p>
    <w:p w:rsidR="00270122" w:rsidRPr="000D0599" w:rsidRDefault="00270122" w:rsidP="00270122">
      <w:pPr>
        <w:rPr>
          <w:sz w:val="24"/>
          <w:szCs w:val="24"/>
        </w:rPr>
      </w:pPr>
      <w:r w:rsidRPr="000D0599">
        <w:rPr>
          <w:sz w:val="24"/>
          <w:szCs w:val="24"/>
        </w:rPr>
        <w:t xml:space="preserve">Председатель ревизионной комиссии </w:t>
      </w:r>
    </w:p>
    <w:p w:rsidR="00270122" w:rsidRPr="000D0599" w:rsidRDefault="00270122" w:rsidP="00270122">
      <w:pPr>
        <w:rPr>
          <w:sz w:val="24"/>
          <w:szCs w:val="24"/>
        </w:rPr>
      </w:pPr>
      <w:r w:rsidRPr="000D0599">
        <w:rPr>
          <w:sz w:val="24"/>
          <w:szCs w:val="24"/>
        </w:rPr>
        <w:t>Каратузского района</w:t>
      </w:r>
      <w:r w:rsidRPr="000D0599">
        <w:rPr>
          <w:sz w:val="24"/>
          <w:szCs w:val="24"/>
        </w:rPr>
        <w:tab/>
      </w:r>
      <w:r w:rsidRPr="000D0599">
        <w:rPr>
          <w:sz w:val="24"/>
          <w:szCs w:val="24"/>
        </w:rPr>
        <w:tab/>
      </w:r>
      <w:r w:rsidRPr="000D0599">
        <w:rPr>
          <w:sz w:val="24"/>
          <w:szCs w:val="24"/>
        </w:rPr>
        <w:tab/>
      </w:r>
      <w:r w:rsidRPr="000D0599">
        <w:rPr>
          <w:sz w:val="24"/>
          <w:szCs w:val="24"/>
        </w:rPr>
        <w:tab/>
      </w:r>
      <w:r w:rsidRPr="000D0599">
        <w:rPr>
          <w:sz w:val="24"/>
          <w:szCs w:val="24"/>
        </w:rPr>
        <w:tab/>
      </w:r>
      <w:r w:rsidRPr="000D0599">
        <w:rPr>
          <w:sz w:val="24"/>
          <w:szCs w:val="24"/>
        </w:rPr>
        <w:tab/>
      </w:r>
      <w:r w:rsidR="000D0599">
        <w:rPr>
          <w:sz w:val="24"/>
          <w:szCs w:val="24"/>
        </w:rPr>
        <w:t xml:space="preserve">     </w:t>
      </w:r>
      <w:r w:rsidRPr="000D0599">
        <w:rPr>
          <w:sz w:val="24"/>
          <w:szCs w:val="24"/>
        </w:rPr>
        <w:tab/>
      </w:r>
      <w:r w:rsidR="000D0599">
        <w:rPr>
          <w:sz w:val="24"/>
          <w:szCs w:val="24"/>
        </w:rPr>
        <w:t xml:space="preserve">                  </w:t>
      </w:r>
      <w:r w:rsidRPr="000D0599">
        <w:rPr>
          <w:sz w:val="24"/>
          <w:szCs w:val="24"/>
        </w:rPr>
        <w:t>Л.И.Зотова</w:t>
      </w:r>
    </w:p>
    <w:p w:rsidR="00270122" w:rsidRPr="000D0599" w:rsidRDefault="00270122" w:rsidP="00270122">
      <w:pPr>
        <w:rPr>
          <w:sz w:val="24"/>
          <w:szCs w:val="24"/>
        </w:rPr>
      </w:pPr>
    </w:p>
    <w:sectPr w:rsidR="00270122" w:rsidRPr="000D0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2C"/>
    <w:rsid w:val="00085651"/>
    <w:rsid w:val="00096118"/>
    <w:rsid w:val="000D0599"/>
    <w:rsid w:val="001B1D2C"/>
    <w:rsid w:val="00223AB4"/>
    <w:rsid w:val="00266490"/>
    <w:rsid w:val="00270122"/>
    <w:rsid w:val="00281991"/>
    <w:rsid w:val="00302061"/>
    <w:rsid w:val="003F7C37"/>
    <w:rsid w:val="00795A2B"/>
    <w:rsid w:val="007A5F4C"/>
    <w:rsid w:val="009011B9"/>
    <w:rsid w:val="00972CAC"/>
    <w:rsid w:val="00D9497A"/>
    <w:rsid w:val="00E25071"/>
    <w:rsid w:val="00EA72B2"/>
    <w:rsid w:val="00FA2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5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85651"/>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085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Без интервала Знак"/>
    <w:link w:val="a3"/>
    <w:locked/>
    <w:rsid w:val="0008565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5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85651"/>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085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Без интервала Знак"/>
    <w:link w:val="a3"/>
    <w:locked/>
    <w:rsid w:val="0008565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270BB9B6898CF6AAB555595126235115506E7D784908AA4D0D1615BC4C48587D564979406C23E6966e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1565</Words>
  <Characters>8922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2016-08-31T05:26:00Z</dcterms:created>
  <dcterms:modified xsi:type="dcterms:W3CDTF">2016-08-31T06:45:00Z</dcterms:modified>
</cp:coreProperties>
</file>